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FA104" w14:textId="77777777" w:rsidR="00D27355" w:rsidRDefault="00D27355" w:rsidP="00440D3F">
      <w:pPr>
        <w:pStyle w:val="BodyText"/>
        <w:ind w:left="180" w:right="630" w:firstLine="0"/>
        <w:jc w:val="right"/>
        <w:rPr>
          <w:rFonts w:ascii="Times New Roman"/>
          <w:sz w:val="20"/>
        </w:rPr>
      </w:pPr>
    </w:p>
    <w:p w14:paraId="6320D8C3" w14:textId="77777777" w:rsidR="00D27355" w:rsidRPr="00EA594D" w:rsidRDefault="008C2690" w:rsidP="00105269">
      <w:pPr>
        <w:pStyle w:val="BodyText"/>
        <w:spacing w:before="117"/>
        <w:ind w:firstLine="0"/>
        <w:jc w:val="center"/>
        <w:rPr>
          <w:rFonts w:asciiTheme="minorHAnsi" w:hAnsiTheme="minorHAnsi" w:cstheme="minorHAnsi"/>
          <w:b/>
          <w:bCs/>
          <w:sz w:val="21"/>
        </w:rPr>
      </w:pPr>
      <w:r>
        <w:rPr>
          <w:rFonts w:asciiTheme="minorHAnsi" w:hAnsiTheme="minorHAnsi" w:cstheme="minorHAnsi"/>
          <w:b/>
          <w:bCs/>
          <w:color w:val="1F497D" w:themeColor="text2"/>
          <w:sz w:val="28"/>
          <w:szCs w:val="24"/>
        </w:rPr>
        <w:t>NICHOLAS JORDAN</w:t>
      </w:r>
    </w:p>
    <w:p w14:paraId="7E28A786" w14:textId="77777777" w:rsidR="00C91141" w:rsidRDefault="00440D3F" w:rsidP="00440D3F">
      <w:pPr>
        <w:pStyle w:val="ResumeTitle"/>
        <w:ind w:left="-180" w:right="270"/>
        <w:jc w:val="center"/>
        <w:rPr>
          <w:rFonts w:asciiTheme="minorHAnsi" w:hAnsiTheme="minorHAnsi" w:cstheme="minorHAnsi"/>
          <w:color w:val="000000" w:themeColor="text1"/>
          <w:sz w:val="22"/>
        </w:rPr>
      </w:pPr>
      <w:r>
        <w:rPr>
          <w:rFonts w:asciiTheme="minorHAnsi" w:hAnsiTheme="minorHAnsi" w:cstheme="minorHAnsi"/>
          <w:color w:val="000000" w:themeColor="text1"/>
          <w:sz w:val="22"/>
        </w:rPr>
        <w:t>ENTERPRISE IT OPERATIONS | SERVICE DELIVERY | INFRASTRUCTURE | TECHNOLOGY TRANSFORMATION</w:t>
      </w:r>
    </w:p>
    <w:p w14:paraId="78AFB517" w14:textId="17CB6D0E" w:rsidR="00105269" w:rsidRPr="0087037D" w:rsidRDefault="00B76484" w:rsidP="00440D3F">
      <w:pPr>
        <w:pStyle w:val="ResumeTitle"/>
        <w:ind w:left="-180" w:right="270"/>
        <w:jc w:val="center"/>
        <w:rPr>
          <w:rFonts w:asciiTheme="minorHAnsi" w:hAnsiTheme="minorHAnsi" w:cstheme="minorHAnsi"/>
          <w:b w:val="0"/>
          <w:bCs/>
          <w:sz w:val="23"/>
          <w:szCs w:val="23"/>
        </w:rPr>
      </w:pPr>
      <w:r w:rsidRPr="0087037D">
        <w:rPr>
          <w:rFonts w:asciiTheme="minorHAnsi" w:hAnsiTheme="minorHAnsi" w:cstheme="minorHAnsi"/>
          <w:b w:val="0"/>
          <w:iCs/>
          <w:color w:val="365F91" w:themeColor="accent1" w:themeShade="BF"/>
          <w:spacing w:val="-2"/>
          <w:sz w:val="22"/>
          <w:szCs w:val="28"/>
        </w:rPr>
        <w:t xml:space="preserve">Atlanta, GA </w:t>
      </w:r>
      <w:r w:rsidR="00E17870" w:rsidRPr="0087037D">
        <w:rPr>
          <w:rFonts w:asciiTheme="minorHAnsi" w:hAnsiTheme="minorHAnsi" w:cstheme="minorHAnsi"/>
          <w:b w:val="0"/>
          <w:iCs/>
          <w:color w:val="365F91" w:themeColor="accent1" w:themeShade="BF"/>
          <w:spacing w:val="-2"/>
          <w:sz w:val="22"/>
          <w:szCs w:val="28"/>
        </w:rPr>
        <w:t>| linkedin.com/in/nicholas</w:t>
      </w:r>
      <w:r w:rsidR="005B14BA">
        <w:rPr>
          <w:rFonts w:asciiTheme="minorHAnsi" w:hAnsiTheme="minorHAnsi" w:cstheme="minorHAnsi"/>
          <w:b w:val="0"/>
          <w:iCs/>
          <w:color w:val="365F91" w:themeColor="accent1" w:themeShade="BF"/>
          <w:spacing w:val="-2"/>
          <w:sz w:val="22"/>
          <w:szCs w:val="28"/>
        </w:rPr>
        <w:t>jordan-atl</w:t>
      </w:r>
    </w:p>
    <w:p w14:paraId="07C3257A" w14:textId="77777777" w:rsidR="00D27355" w:rsidRDefault="004B28CE">
      <w:pPr>
        <w:pStyle w:val="Heading1"/>
        <w:spacing w:before="219"/>
      </w:pPr>
      <w:r>
        <w:rPr>
          <w:color w:val="1F3863"/>
          <w:spacing w:val="2"/>
          <w:w w:val="105"/>
          <w:shd w:val="clear" w:color="auto" w:fill="DBE5F1" w:themeFill="accent1" w:themeFillTint="33"/>
        </w:rPr>
        <w:t>EXPERIENCE SUMMARY</w:t>
      </w:r>
    </w:p>
    <w:p w14:paraId="64815F02" w14:textId="77777777" w:rsidR="00D27355" w:rsidRDefault="00D27355" w:rsidP="00C06BC9">
      <w:pPr>
        <w:pStyle w:val="BodyText"/>
        <w:ind w:firstLine="0"/>
        <w:rPr>
          <w:b/>
          <w:sz w:val="20"/>
        </w:rPr>
      </w:pPr>
    </w:p>
    <w:p w14:paraId="5226B794" w14:textId="51BF9333" w:rsidR="00694725" w:rsidRDefault="00694725" w:rsidP="00694725">
      <w:pPr>
        <w:ind w:left="287" w:right="806"/>
        <w:rPr>
          <w:noProof/>
          <w:color w:val="2D2D2D"/>
          <w:spacing w:val="-2"/>
          <w:sz w:val="20"/>
        </w:rPr>
      </w:pPr>
      <w:r>
        <w:rPr>
          <w:noProof/>
          <w:color w:val="2D2D2D"/>
          <w:spacing w:val="-2"/>
          <w:sz w:val="20"/>
        </w:rPr>
        <w:t>Enterprise technology executive with 30 years of progressive IT experience, including 20+ years of leadership across retail, distribution, manufacturing, corporate, and construction-services environments. Builds and scales high-performing technology organizations and translates growth, risk, and customer needs into operating models, investment portfolios, resilient services, and measurable outcomes. Experience spans enterprise IT operations, infrastructure, digital workplace, service management, cybersecurity alignment, ERP</w:t>
      </w:r>
      <w:r w:rsidR="008438ED">
        <w:rPr>
          <w:noProof/>
          <w:color w:val="2D2D2D"/>
          <w:spacing w:val="-2"/>
          <w:sz w:val="20"/>
        </w:rPr>
        <w:t>,</w:t>
      </w:r>
      <w:r>
        <w:rPr>
          <w:noProof/>
          <w:color w:val="2D2D2D"/>
          <w:spacing w:val="-2"/>
          <w:sz w:val="20"/>
        </w:rPr>
        <w:t xml:space="preserve"> and supply-chain enablement, major incident command, vendor strategy, and workforce development.</w:t>
      </w:r>
    </w:p>
    <w:p w14:paraId="77164226" w14:textId="77777777" w:rsidR="005B14BA" w:rsidRPr="00694725" w:rsidRDefault="005B14BA" w:rsidP="00694725">
      <w:pPr>
        <w:ind w:left="287" w:right="806"/>
        <w:rPr>
          <w:noProof/>
          <w:color w:val="2D2D2D"/>
          <w:spacing w:val="-2"/>
          <w:sz w:val="20"/>
        </w:rPr>
      </w:pPr>
    </w:p>
    <w:p w14:paraId="325D792A" w14:textId="77777777" w:rsidR="00694725" w:rsidRPr="00694725" w:rsidRDefault="00694725" w:rsidP="00694725">
      <w:pPr>
        <w:ind w:left="287" w:right="806"/>
        <w:rPr>
          <w:noProof/>
          <w:color w:val="2D2D2D"/>
          <w:spacing w:val="-2"/>
          <w:sz w:val="20"/>
        </w:rPr>
      </w:pPr>
      <w:r>
        <w:rPr>
          <w:noProof/>
          <w:color w:val="2D2D2D"/>
          <w:spacing w:val="-2"/>
          <w:sz w:val="20"/>
        </w:rPr>
        <w:t>Recognized for sustained Far Exceeding performance ratings, executive-level influence, disciplined governance, and the ability to lead leaders through rapid growth and organizational change. Career outcomes include 98%+ SLA attainment, CSAT growth from 82% to 98%, a 27% reduction in MTTR, 40% fewer repeat incidents, first-contact resolution growth from 68% to 84%, endpoint compliance above 96%, and more than $1.1 million in recurring savings.</w:t>
      </w:r>
    </w:p>
    <w:p w14:paraId="46FE1647" w14:textId="77777777" w:rsidR="00826602" w:rsidRDefault="00826602" w:rsidP="00694725">
      <w:pPr>
        <w:ind w:left="287" w:right="806"/>
        <w:rPr>
          <w:noProof/>
          <w:color w:val="2D2D2D"/>
          <w:spacing w:val="-2"/>
          <w:sz w:val="20"/>
        </w:rPr>
      </w:pPr>
    </w:p>
    <w:p w14:paraId="1CA9695A" w14:textId="77777777" w:rsidR="007174F1" w:rsidRDefault="00DA3049" w:rsidP="00F035FE">
      <w:pPr>
        <w:pStyle w:val="Heading1"/>
      </w:pPr>
      <w:r>
        <w:rPr>
          <w:color w:val="1F3863"/>
          <w:spacing w:val="2"/>
          <w:w w:val="105"/>
          <w:shd w:val="clear" w:color="auto" w:fill="DBE5F1" w:themeFill="accent1" w:themeFillTint="33"/>
        </w:rPr>
        <w:t>LEADERSHIP AND TECHNOLOGY ENVIRONMENTS</w:t>
      </w:r>
    </w:p>
    <w:p w14:paraId="2A3B6715" w14:textId="77777777" w:rsidR="007D2CFF" w:rsidRDefault="007D2CFF" w:rsidP="007D2CFF">
      <w:pPr>
        <w:rPr>
          <w:w w:val="110"/>
        </w:rPr>
      </w:pPr>
    </w:p>
    <w:tbl>
      <w:tblPr>
        <w:tblpPr w:leftFromText="180" w:rightFromText="180" w:vertAnchor="page" w:horzAnchor="margin" w:tblpY="5926"/>
        <w:tblW w:w="11070" w:type="dxa"/>
        <w:tblLayout w:type="fixed"/>
        <w:tblLook w:val="04A0" w:firstRow="1" w:lastRow="0" w:firstColumn="1" w:lastColumn="0" w:noHBand="0" w:noVBand="1"/>
      </w:tblPr>
      <w:tblGrid>
        <w:gridCol w:w="3046"/>
        <w:gridCol w:w="8024"/>
      </w:tblGrid>
      <w:tr w:rsidR="005D229B" w:rsidRPr="00826602" w14:paraId="5B6325EB" w14:textId="77777777" w:rsidTr="009518A8">
        <w:trPr>
          <w:trHeight w:val="202"/>
          <w:tblHeader/>
        </w:trPr>
        <w:tc>
          <w:tcPr>
            <w:tcW w:w="3046" w:type="dxa"/>
            <w:vAlign w:val="center"/>
          </w:tcPr>
          <w:p w14:paraId="43EE4BBF" w14:textId="77777777" w:rsidR="005D229B" w:rsidRPr="00E27A39" w:rsidRDefault="005D229B" w:rsidP="005D229B">
            <w:pPr>
              <w:ind w:left="165" w:right="806"/>
              <w:rPr>
                <w:noProof/>
                <w:color w:val="000000" w:themeColor="text1"/>
                <w:spacing w:val="-2"/>
                <w:sz w:val="20"/>
              </w:rPr>
            </w:pPr>
            <w:r>
              <w:rPr>
                <w:b/>
                <w:noProof/>
                <w:color w:val="000000" w:themeColor="text1"/>
                <w:spacing w:val="-2"/>
                <w:sz w:val="20"/>
              </w:rPr>
              <w:t>DOMAIN</w:t>
            </w:r>
          </w:p>
        </w:tc>
        <w:tc>
          <w:tcPr>
            <w:tcW w:w="8024" w:type="dxa"/>
            <w:vAlign w:val="center"/>
          </w:tcPr>
          <w:p w14:paraId="27DCC44A" w14:textId="77777777" w:rsidR="005D229B" w:rsidRPr="00E27A39" w:rsidRDefault="005D229B" w:rsidP="005D229B">
            <w:pPr>
              <w:ind w:left="165" w:right="806"/>
              <w:rPr>
                <w:noProof/>
                <w:color w:val="000000" w:themeColor="text1"/>
                <w:spacing w:val="-2"/>
                <w:sz w:val="20"/>
              </w:rPr>
            </w:pPr>
            <w:r>
              <w:rPr>
                <w:b/>
                <w:noProof/>
                <w:color w:val="000000" w:themeColor="text1"/>
                <w:spacing w:val="-2"/>
                <w:sz w:val="20"/>
              </w:rPr>
              <w:t>KEYWORDS &amp; CAPABILITIES</w:t>
            </w:r>
          </w:p>
        </w:tc>
      </w:tr>
      <w:tr w:rsidR="005D229B" w:rsidRPr="00826602" w14:paraId="390D7E75" w14:textId="77777777" w:rsidTr="009518A8">
        <w:trPr>
          <w:trHeight w:val="520"/>
        </w:trPr>
        <w:tc>
          <w:tcPr>
            <w:tcW w:w="3046" w:type="dxa"/>
          </w:tcPr>
          <w:p w14:paraId="05B29CD0" w14:textId="77777777" w:rsidR="005D229B" w:rsidRPr="00826602" w:rsidRDefault="005D229B" w:rsidP="005D229B">
            <w:pPr>
              <w:spacing w:before="100"/>
              <w:ind w:left="165" w:right="806"/>
              <w:rPr>
                <w:noProof/>
                <w:color w:val="2D2D2D"/>
                <w:spacing w:val="-2"/>
                <w:sz w:val="20"/>
              </w:rPr>
            </w:pPr>
            <w:r>
              <w:rPr>
                <w:b/>
                <w:noProof/>
                <w:color w:val="002060"/>
                <w:spacing w:val="-2"/>
                <w:sz w:val="20"/>
              </w:rPr>
              <w:t>Enterprise Leadership</w:t>
            </w:r>
          </w:p>
        </w:tc>
        <w:tc>
          <w:tcPr>
            <w:tcW w:w="8024" w:type="dxa"/>
          </w:tcPr>
          <w:p w14:paraId="30369561" w14:textId="77777777" w:rsidR="005D229B" w:rsidRPr="00826602" w:rsidRDefault="005D229B" w:rsidP="005D229B">
            <w:pPr>
              <w:spacing w:before="100"/>
              <w:ind w:left="165" w:right="806"/>
              <w:rPr>
                <w:noProof/>
                <w:color w:val="2D2D2D"/>
                <w:spacing w:val="-2"/>
                <w:sz w:val="20"/>
              </w:rPr>
            </w:pPr>
            <w:r>
              <w:rPr>
                <w:noProof/>
                <w:color w:val="2D2D2D"/>
                <w:spacing w:val="-2"/>
                <w:sz w:val="20"/>
              </w:rPr>
              <w:t>Technology Strategy; Operating Models; Organizational Design; Management of Managers; Succession Planning; Executive Communications; Business Partnership</w:t>
            </w:r>
          </w:p>
        </w:tc>
      </w:tr>
      <w:tr w:rsidR="005D229B" w:rsidRPr="00826602" w14:paraId="57C0F0C8" w14:textId="77777777" w:rsidTr="009518A8">
        <w:trPr>
          <w:trHeight w:val="520"/>
        </w:trPr>
        <w:tc>
          <w:tcPr>
            <w:tcW w:w="3046" w:type="dxa"/>
          </w:tcPr>
          <w:p w14:paraId="55B92EA3" w14:textId="77777777" w:rsidR="005D229B" w:rsidRPr="00826602" w:rsidRDefault="005D229B" w:rsidP="005D229B">
            <w:pPr>
              <w:spacing w:before="100"/>
              <w:ind w:left="165" w:right="806"/>
              <w:rPr>
                <w:noProof/>
                <w:color w:val="2D2D2D"/>
                <w:spacing w:val="-2"/>
                <w:sz w:val="20"/>
              </w:rPr>
            </w:pPr>
            <w:r>
              <w:rPr>
                <w:b/>
                <w:noProof/>
                <w:color w:val="002060"/>
                <w:spacing w:val="-2"/>
                <w:sz w:val="20"/>
              </w:rPr>
              <w:t>Portfolio &amp; Financial Governance</w:t>
            </w:r>
          </w:p>
        </w:tc>
        <w:tc>
          <w:tcPr>
            <w:tcW w:w="8024" w:type="dxa"/>
          </w:tcPr>
          <w:p w14:paraId="3C3EFEC7" w14:textId="77777777" w:rsidR="005D229B" w:rsidRPr="00826602" w:rsidRDefault="005D229B" w:rsidP="005D229B">
            <w:pPr>
              <w:spacing w:before="100"/>
              <w:ind w:left="165" w:right="806"/>
              <w:rPr>
                <w:noProof/>
                <w:color w:val="2D2D2D"/>
                <w:spacing w:val="-2"/>
                <w:sz w:val="20"/>
              </w:rPr>
            </w:pPr>
            <w:r>
              <w:rPr>
                <w:noProof/>
                <w:color w:val="2D2D2D"/>
                <w:spacing w:val="-2"/>
                <w:sz w:val="20"/>
              </w:rPr>
              <w:t>IT Portfolio Management; Multi-Year Planning; CAPEX/OPEX; Forecasting; Business Cases; Scenario Planning; Benefits Realization; Cost Optimization; FinOps</w:t>
            </w:r>
          </w:p>
        </w:tc>
      </w:tr>
      <w:tr w:rsidR="005D229B" w:rsidRPr="00826602" w14:paraId="38C4E29D" w14:textId="77777777" w:rsidTr="009518A8">
        <w:trPr>
          <w:trHeight w:val="520"/>
        </w:trPr>
        <w:tc>
          <w:tcPr>
            <w:tcW w:w="3046" w:type="dxa"/>
          </w:tcPr>
          <w:p w14:paraId="1FE2165B" w14:textId="77777777" w:rsidR="005D229B" w:rsidRPr="00826602" w:rsidRDefault="005D229B" w:rsidP="005D229B">
            <w:pPr>
              <w:spacing w:before="100"/>
              <w:ind w:left="165" w:right="806"/>
              <w:rPr>
                <w:noProof/>
                <w:color w:val="2D2D2D"/>
                <w:spacing w:val="-2"/>
                <w:sz w:val="20"/>
              </w:rPr>
            </w:pPr>
            <w:r>
              <w:rPr>
                <w:b/>
                <w:noProof/>
                <w:color w:val="002060"/>
                <w:spacing w:val="-2"/>
                <w:sz w:val="20"/>
              </w:rPr>
              <w:t>Service &amp; Operational Excellence</w:t>
            </w:r>
          </w:p>
        </w:tc>
        <w:tc>
          <w:tcPr>
            <w:tcW w:w="8024" w:type="dxa"/>
          </w:tcPr>
          <w:p w14:paraId="3F80518A" w14:textId="77777777" w:rsidR="005D229B" w:rsidRPr="00826602" w:rsidRDefault="005D229B" w:rsidP="005D229B">
            <w:pPr>
              <w:spacing w:before="100"/>
              <w:ind w:left="165" w:right="806"/>
              <w:rPr>
                <w:noProof/>
                <w:color w:val="2D2D2D"/>
                <w:spacing w:val="-2"/>
                <w:sz w:val="20"/>
              </w:rPr>
            </w:pPr>
            <w:r>
              <w:rPr>
                <w:noProof/>
                <w:color w:val="2D2D2D"/>
                <w:spacing w:val="-2"/>
                <w:sz w:val="20"/>
              </w:rPr>
              <w:t>ITIL 4; Incident, Major Incident, Problem, Change, Request, and Knowledge Management; SLA/XLA/KPI; CSAT; CMDB; ServiceNow; KCS; Business Continuity</w:t>
            </w:r>
          </w:p>
        </w:tc>
      </w:tr>
      <w:tr w:rsidR="005D229B" w:rsidRPr="00826602" w14:paraId="3E9ACAC9" w14:textId="77777777" w:rsidTr="009518A8">
        <w:trPr>
          <w:trHeight w:val="520"/>
        </w:trPr>
        <w:tc>
          <w:tcPr>
            <w:tcW w:w="3046" w:type="dxa"/>
          </w:tcPr>
          <w:p w14:paraId="743685D0" w14:textId="77777777" w:rsidR="005D229B" w:rsidRPr="00826602" w:rsidRDefault="005D229B" w:rsidP="005D229B">
            <w:pPr>
              <w:spacing w:before="100"/>
              <w:ind w:left="165" w:right="806"/>
              <w:rPr>
                <w:noProof/>
                <w:color w:val="2D2D2D"/>
                <w:spacing w:val="-2"/>
                <w:sz w:val="20"/>
              </w:rPr>
            </w:pPr>
            <w:r>
              <w:rPr>
                <w:b/>
                <w:noProof/>
                <w:color w:val="002060"/>
                <w:spacing w:val="-2"/>
                <w:sz w:val="20"/>
              </w:rPr>
              <w:t>Infrastructure &amp; Digital Workplace</w:t>
            </w:r>
          </w:p>
        </w:tc>
        <w:tc>
          <w:tcPr>
            <w:tcW w:w="8024" w:type="dxa"/>
          </w:tcPr>
          <w:p w14:paraId="6AB8622A" w14:textId="77777777" w:rsidR="005D229B" w:rsidRPr="00826602" w:rsidRDefault="005D229B" w:rsidP="005D229B">
            <w:pPr>
              <w:spacing w:before="100"/>
              <w:ind w:left="165" w:right="806"/>
              <w:rPr>
                <w:noProof/>
                <w:color w:val="2D2D2D"/>
                <w:spacing w:val="-2"/>
                <w:sz w:val="20"/>
              </w:rPr>
            </w:pPr>
            <w:r>
              <w:rPr>
                <w:noProof/>
                <w:color w:val="2D2D2D"/>
                <w:spacing w:val="-2"/>
                <w:sz w:val="20"/>
              </w:rPr>
              <w:t>Enterprise Infrastructure; Network Operations; SD-WAN; Microsoft 365; Entra ID; Intune; Autopilot; Conditional Access; Endpoint Engineering; Asset Lifecycle</w:t>
            </w:r>
          </w:p>
        </w:tc>
      </w:tr>
      <w:tr w:rsidR="005D229B" w:rsidRPr="00826602" w14:paraId="249A5EB9" w14:textId="77777777" w:rsidTr="009518A8">
        <w:trPr>
          <w:trHeight w:val="520"/>
        </w:trPr>
        <w:tc>
          <w:tcPr>
            <w:tcW w:w="3046" w:type="dxa"/>
          </w:tcPr>
          <w:p w14:paraId="53625F94" w14:textId="77777777" w:rsidR="005D229B" w:rsidRPr="00826602" w:rsidRDefault="005D229B" w:rsidP="005D229B">
            <w:pPr>
              <w:spacing w:before="100"/>
              <w:ind w:left="165" w:right="806"/>
              <w:rPr>
                <w:noProof/>
                <w:color w:val="2D2D2D"/>
                <w:spacing w:val="-2"/>
                <w:sz w:val="20"/>
              </w:rPr>
            </w:pPr>
            <w:r>
              <w:rPr>
                <w:b/>
                <w:noProof/>
                <w:color w:val="002060"/>
                <w:spacing w:val="-2"/>
                <w:sz w:val="20"/>
              </w:rPr>
              <w:t>Transformation &amp; Architecture</w:t>
            </w:r>
          </w:p>
        </w:tc>
        <w:tc>
          <w:tcPr>
            <w:tcW w:w="8024" w:type="dxa"/>
          </w:tcPr>
          <w:p w14:paraId="7FF99371" w14:textId="77777777" w:rsidR="005D229B" w:rsidRPr="00826602" w:rsidRDefault="005D229B" w:rsidP="005D229B">
            <w:pPr>
              <w:spacing w:before="100"/>
              <w:ind w:left="165" w:right="806"/>
              <w:rPr>
                <w:noProof/>
                <w:color w:val="2D2D2D"/>
                <w:spacing w:val="-2"/>
                <w:sz w:val="20"/>
              </w:rPr>
            </w:pPr>
            <w:r>
              <w:rPr>
                <w:noProof/>
                <w:color w:val="2D2D2D"/>
                <w:spacing w:val="-2"/>
                <w:sz w:val="20"/>
              </w:rPr>
              <w:t>ERP Modernization (SAP S/4HANA, Oracle Cloud ERP); Cloud Transformation; IAM/PAM; AI Enablement; RPA; Systems Integration; Data Governance</w:t>
            </w:r>
          </w:p>
        </w:tc>
      </w:tr>
      <w:tr w:rsidR="005D229B" w:rsidRPr="00826602" w14:paraId="38D619C8" w14:textId="77777777" w:rsidTr="009518A8">
        <w:trPr>
          <w:trHeight w:val="520"/>
        </w:trPr>
        <w:tc>
          <w:tcPr>
            <w:tcW w:w="3046" w:type="dxa"/>
          </w:tcPr>
          <w:p w14:paraId="51309EAC" w14:textId="77777777" w:rsidR="005D229B" w:rsidRPr="00826602" w:rsidRDefault="005D229B" w:rsidP="005D229B">
            <w:pPr>
              <w:spacing w:before="100"/>
              <w:ind w:left="165" w:right="806"/>
              <w:rPr>
                <w:noProof/>
                <w:color w:val="2D2D2D"/>
                <w:spacing w:val="-2"/>
                <w:sz w:val="20"/>
              </w:rPr>
            </w:pPr>
            <w:r>
              <w:rPr>
                <w:b/>
                <w:noProof/>
                <w:color w:val="002060"/>
                <w:spacing w:val="-2"/>
                <w:sz w:val="20"/>
              </w:rPr>
              <w:t>Commercial &amp; Vendor Leadership</w:t>
            </w:r>
          </w:p>
        </w:tc>
        <w:tc>
          <w:tcPr>
            <w:tcW w:w="8024" w:type="dxa"/>
          </w:tcPr>
          <w:p w14:paraId="5144008E" w14:textId="77777777" w:rsidR="005D229B" w:rsidRPr="00826602" w:rsidRDefault="005D229B" w:rsidP="005D229B">
            <w:pPr>
              <w:spacing w:before="100"/>
              <w:ind w:left="165" w:right="806"/>
              <w:rPr>
                <w:noProof/>
                <w:color w:val="2D2D2D"/>
                <w:spacing w:val="-2"/>
                <w:sz w:val="20"/>
              </w:rPr>
            </w:pPr>
            <w:r>
              <w:rPr>
                <w:noProof/>
                <w:color w:val="2D2D2D"/>
                <w:spacing w:val="-2"/>
                <w:sz w:val="20"/>
              </w:rPr>
              <w:t>Strategic Sourcing; Contract Negotiation; Licensing; MSP Governance; QBRs; Vendor Rationalization; SLA Governance; Risk Controls</w:t>
            </w:r>
          </w:p>
        </w:tc>
      </w:tr>
    </w:tbl>
    <w:p w14:paraId="08A7F177" w14:textId="77777777" w:rsidR="00E162DA" w:rsidRPr="00E162DA" w:rsidRDefault="00E162DA" w:rsidP="009518A8">
      <w:pPr>
        <w:pStyle w:val="Heading1"/>
        <w:rPr>
          <w:color w:val="002060"/>
          <w:w w:val="110"/>
        </w:rPr>
      </w:pPr>
      <w:r>
        <w:rPr>
          <w:color w:val="002060"/>
          <w:w w:val="110"/>
          <w:shd w:val="clear" w:color="auto" w:fill="DBE5F1" w:themeFill="accent1" w:themeFillTint="33"/>
        </w:rPr>
        <w:t>SELECT PROJECTS &amp; IMPACTS</w:t>
      </w:r>
      <w:r>
        <w:rPr>
          <w:color w:val="002060"/>
          <w:w w:val="110"/>
        </w:rPr>
        <w:t xml:space="preserve"> </w:t>
      </w:r>
    </w:p>
    <w:p w14:paraId="2DE7139C" w14:textId="77777777" w:rsidR="002E1C50" w:rsidRPr="00C26336" w:rsidRDefault="002E1C50" w:rsidP="00C02617">
      <w:pPr>
        <w:pStyle w:val="ListParagraph"/>
        <w:numPr>
          <w:ilvl w:val="0"/>
          <w:numId w:val="8"/>
        </w:numPr>
        <w:tabs>
          <w:tab w:val="left" w:pos="990"/>
        </w:tabs>
        <w:spacing w:line="237" w:lineRule="auto"/>
        <w:ind w:left="540" w:right="630"/>
        <w:rPr>
          <w:color w:val="2D2D2D"/>
          <w:sz w:val="19"/>
        </w:rPr>
      </w:pPr>
      <w:r>
        <w:rPr>
          <w:b/>
          <w:bCs/>
          <w:color w:val="17365D" w:themeColor="text2" w:themeShade="BF"/>
          <w:sz w:val="19"/>
          <w:u w:val="single"/>
        </w:rPr>
        <w:t>Service Delivery Transformation</w:t>
      </w:r>
      <w:r>
        <w:rPr>
          <w:color w:val="2D2D2D"/>
          <w:sz w:val="19"/>
        </w:rPr>
        <w:t>: Rebuilt enterprise support governance across 276+ stores, five design studios, five distribution centers, and 3,400+ users, lifting CSAT from 82% to 98%, sustaining 98%+ SLA attainment, reducing backlog by 40%, and lowering ticket volume by 22%.</w:t>
      </w:r>
    </w:p>
    <w:p w14:paraId="14E8160D" w14:textId="77777777" w:rsidR="002E1C50" w:rsidRPr="00C26336" w:rsidRDefault="002E1C50" w:rsidP="00C02617">
      <w:pPr>
        <w:pStyle w:val="ListParagraph"/>
        <w:numPr>
          <w:ilvl w:val="0"/>
          <w:numId w:val="8"/>
        </w:numPr>
        <w:tabs>
          <w:tab w:val="left" w:pos="990"/>
        </w:tabs>
        <w:spacing w:line="237" w:lineRule="auto"/>
        <w:ind w:left="540" w:right="630"/>
        <w:rPr>
          <w:color w:val="2D2D2D"/>
          <w:sz w:val="19"/>
        </w:rPr>
      </w:pPr>
      <w:r>
        <w:rPr>
          <w:b/>
          <w:bCs/>
          <w:color w:val="17365D" w:themeColor="text2" w:themeShade="BF"/>
          <w:sz w:val="19"/>
          <w:u w:val="single"/>
        </w:rPr>
        <w:t>Major Incident and Problem Management</w:t>
      </w:r>
      <w:r>
        <w:rPr>
          <w:color w:val="2D2D2D"/>
          <w:sz w:val="19"/>
        </w:rPr>
        <w:t>: Co-led the Enterprise Incident Management Playbook and a formal incident-command model, reducing MTTR by 27% and repeat incidents by 40% through severity standards, bridge roles, executive communications, root-cause analysis, and corrective-action governance.</w:t>
      </w:r>
    </w:p>
    <w:p w14:paraId="26A2A40D" w14:textId="12DF8C1E" w:rsidR="002E1C50" w:rsidRPr="00C26336" w:rsidRDefault="002E1C50" w:rsidP="00C02617">
      <w:pPr>
        <w:pStyle w:val="ListParagraph"/>
        <w:numPr>
          <w:ilvl w:val="0"/>
          <w:numId w:val="8"/>
        </w:numPr>
        <w:tabs>
          <w:tab w:val="left" w:pos="990"/>
        </w:tabs>
        <w:spacing w:line="237" w:lineRule="auto"/>
        <w:ind w:left="540" w:right="630"/>
        <w:rPr>
          <w:color w:val="2D2D2D"/>
          <w:sz w:val="19"/>
        </w:rPr>
      </w:pPr>
      <w:r>
        <w:rPr>
          <w:b/>
          <w:bCs/>
          <w:color w:val="17365D" w:themeColor="text2" w:themeShade="BF"/>
          <w:sz w:val="19"/>
          <w:u w:val="single"/>
        </w:rPr>
        <w:t>Digital Workplace and AI-Enabled Support</w:t>
      </w:r>
      <w:r>
        <w:rPr>
          <w:color w:val="2D2D2D"/>
          <w:sz w:val="19"/>
        </w:rPr>
        <w:t xml:space="preserve">: </w:t>
      </w:r>
      <w:r w:rsidR="00E8797A">
        <w:rPr>
          <w:color w:val="2D2D2D"/>
          <w:sz w:val="19"/>
        </w:rPr>
        <w:t>L</w:t>
      </w:r>
      <w:r>
        <w:rPr>
          <w:color w:val="2D2D2D"/>
          <w:sz w:val="19"/>
        </w:rPr>
        <w:t>ed Intune and Windows Autopilot adoption and integrated Moveworks AI with ServiceNow, Microsoft 365, Workday, and Coupa, cutting provisioning time by more than 70%, raising endpoint compliance from 88% to 96%+, and improving first-contact resolution from 68% to 84%.</w:t>
      </w:r>
    </w:p>
    <w:p w14:paraId="487C4A75" w14:textId="09370826" w:rsidR="002E1C50" w:rsidRPr="00C26336" w:rsidRDefault="002E1C50" w:rsidP="00C02617">
      <w:pPr>
        <w:pStyle w:val="ListParagraph"/>
        <w:numPr>
          <w:ilvl w:val="0"/>
          <w:numId w:val="8"/>
        </w:numPr>
        <w:tabs>
          <w:tab w:val="left" w:pos="990"/>
        </w:tabs>
        <w:spacing w:line="237" w:lineRule="auto"/>
        <w:ind w:left="540" w:right="630"/>
        <w:rPr>
          <w:color w:val="2D2D2D"/>
          <w:sz w:val="19"/>
        </w:rPr>
      </w:pPr>
      <w:r>
        <w:rPr>
          <w:b/>
          <w:bCs/>
          <w:color w:val="17365D" w:themeColor="text2" w:themeShade="BF"/>
          <w:sz w:val="19"/>
          <w:u w:val="single"/>
        </w:rPr>
        <w:t>Infrastructure Reliability</w:t>
      </w:r>
      <w:r>
        <w:rPr>
          <w:color w:val="2D2D2D"/>
          <w:sz w:val="19"/>
        </w:rPr>
        <w:t xml:space="preserve">: </w:t>
      </w:r>
      <w:r w:rsidR="00E8797A">
        <w:rPr>
          <w:color w:val="2D2D2D"/>
          <w:sz w:val="19"/>
        </w:rPr>
        <w:t>Managed</w:t>
      </w:r>
      <w:r>
        <w:rPr>
          <w:color w:val="2D2D2D"/>
          <w:sz w:val="19"/>
        </w:rPr>
        <w:t xml:space="preserve"> national SD-WAN and wireless modernization, monitoring, and governance, reducing network incidents by 47% and sustaining approximately 99.9% availability.</w:t>
      </w:r>
    </w:p>
    <w:p w14:paraId="63414C22" w14:textId="7F532DF5" w:rsidR="002E1C50" w:rsidRPr="00C26336" w:rsidRDefault="002E1C50" w:rsidP="00C02617">
      <w:pPr>
        <w:pStyle w:val="ListParagraph"/>
        <w:numPr>
          <w:ilvl w:val="0"/>
          <w:numId w:val="8"/>
        </w:numPr>
        <w:tabs>
          <w:tab w:val="left" w:pos="990"/>
        </w:tabs>
        <w:spacing w:line="237" w:lineRule="auto"/>
        <w:ind w:left="540" w:right="630"/>
        <w:rPr>
          <w:color w:val="2D2D2D"/>
          <w:sz w:val="19"/>
        </w:rPr>
      </w:pPr>
      <w:r>
        <w:rPr>
          <w:b/>
          <w:bCs/>
          <w:color w:val="17365D" w:themeColor="text2" w:themeShade="BF"/>
          <w:sz w:val="19"/>
          <w:u w:val="single"/>
        </w:rPr>
        <w:t>Financial and Vendor Governance</w:t>
      </w:r>
      <w:r>
        <w:rPr>
          <w:color w:val="2D2D2D"/>
          <w:sz w:val="19"/>
        </w:rPr>
        <w:t xml:space="preserve">: </w:t>
      </w:r>
      <w:r w:rsidR="00E8797A">
        <w:rPr>
          <w:color w:val="2D2D2D"/>
          <w:sz w:val="19"/>
        </w:rPr>
        <w:t>Oversaw +</w:t>
      </w:r>
      <w:r>
        <w:rPr>
          <w:color w:val="2D2D2D"/>
          <w:sz w:val="19"/>
        </w:rPr>
        <w:t>$3 million annual IT portfolio within 2% of plan and delivered more than $1.1 million in recurring savings through vendor rationalization, licensing consolidation, and contract governance.</w:t>
      </w:r>
    </w:p>
    <w:p w14:paraId="5B12A830" w14:textId="77777777" w:rsidR="002E1C50" w:rsidRPr="00C26336" w:rsidRDefault="002E1C50" w:rsidP="00C02617">
      <w:pPr>
        <w:pStyle w:val="ListParagraph"/>
        <w:numPr>
          <w:ilvl w:val="0"/>
          <w:numId w:val="8"/>
        </w:numPr>
        <w:tabs>
          <w:tab w:val="left" w:pos="990"/>
        </w:tabs>
        <w:spacing w:line="237" w:lineRule="auto"/>
        <w:ind w:left="540" w:right="630"/>
        <w:rPr>
          <w:color w:val="2D2D2D"/>
          <w:sz w:val="19"/>
        </w:rPr>
      </w:pPr>
      <w:r>
        <w:rPr>
          <w:b/>
          <w:bCs/>
          <w:color w:val="17365D" w:themeColor="text2" w:themeShade="BF"/>
          <w:sz w:val="19"/>
          <w:u w:val="single"/>
        </w:rPr>
        <w:t>ERP Consolidation</w:t>
      </w:r>
      <w:r>
        <w:rPr>
          <w:color w:val="2D2D2D"/>
          <w:sz w:val="19"/>
        </w:rPr>
        <w:t>: Co-led the consolidation of three legacy systems into SAP S/4HANA across 60+ manufacturing and corporate locations and 17,000+ users at Thyssenkrupp North America.</w:t>
      </w:r>
    </w:p>
    <w:p w14:paraId="75CB3298" w14:textId="77777777" w:rsidR="002E1C50" w:rsidRPr="00C26336" w:rsidRDefault="002E1C50" w:rsidP="00C02617">
      <w:pPr>
        <w:pStyle w:val="ListParagraph"/>
        <w:numPr>
          <w:ilvl w:val="0"/>
          <w:numId w:val="8"/>
        </w:numPr>
        <w:tabs>
          <w:tab w:val="left" w:pos="990"/>
        </w:tabs>
        <w:spacing w:line="237" w:lineRule="auto"/>
        <w:ind w:left="540" w:right="630"/>
        <w:rPr>
          <w:color w:val="2D2D2D"/>
          <w:sz w:val="19"/>
        </w:rPr>
      </w:pPr>
      <w:r>
        <w:rPr>
          <w:b/>
          <w:bCs/>
          <w:color w:val="17365D" w:themeColor="text2" w:themeShade="BF"/>
          <w:sz w:val="19"/>
          <w:u w:val="single"/>
        </w:rPr>
        <w:t>Workforce Development and Succession</w:t>
      </w:r>
      <w:r>
        <w:rPr>
          <w:color w:val="2D2D2D"/>
          <w:sz w:val="19"/>
        </w:rPr>
        <w:t>: Created the Service Champions, Each-Teach, and Leadership Ladder programs, strengthening technical upskilling, peer knowledge sharing, recognition, and succession readiness across Corporate IT Operations.</w:t>
      </w:r>
    </w:p>
    <w:p w14:paraId="0F60E669" w14:textId="77777777" w:rsidR="00D27355" w:rsidRPr="00D8764D" w:rsidRDefault="001602B5" w:rsidP="00D8764D">
      <w:pPr>
        <w:spacing w:before="240"/>
        <w:rPr>
          <w:b/>
          <w:bCs/>
        </w:rPr>
      </w:pPr>
      <w:r>
        <w:rPr>
          <w:b/>
          <w:bCs/>
          <w:noProof/>
          <w:shd w:val="clear" w:color="auto" w:fill="DBE5F1" w:themeFill="accent1" w:themeFillTint="33"/>
        </w:rPr>
        <w:lastRenderedPageBreak/>
        <mc:AlternateContent>
          <mc:Choice Requires="wps">
            <w:drawing>
              <wp:anchor distT="0" distB="0" distL="0" distR="0" simplePos="0" relativeHeight="251661312" behindDoc="1" locked="0" layoutInCell="1" allowOverlap="1" wp14:anchorId="1628667C" wp14:editId="26F05673">
                <wp:simplePos x="0" y="0"/>
                <wp:positionH relativeFrom="page">
                  <wp:posOffset>457200</wp:posOffset>
                </wp:positionH>
                <wp:positionV relativeFrom="paragraph">
                  <wp:posOffset>171450</wp:posOffset>
                </wp:positionV>
                <wp:extent cx="6529070" cy="12700"/>
                <wp:effectExtent l="0" t="0" r="24130" b="2540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12700"/>
                        </a:xfrm>
                        <a:custGeom>
                          <a:avLst/>
                          <a:gdLst/>
                          <a:ahLst/>
                          <a:cxnLst/>
                          <a:rect l="l" t="t" r="r" b="b"/>
                          <a:pathLst>
                            <a:path w="6529070" h="12700">
                              <a:moveTo>
                                <a:pt x="6528816" y="0"/>
                              </a:moveTo>
                              <a:lnTo>
                                <a:pt x="0" y="0"/>
                              </a:lnTo>
                              <a:lnTo>
                                <a:pt x="0" y="12179"/>
                              </a:lnTo>
                              <a:lnTo>
                                <a:pt x="6528816" y="12179"/>
                              </a:lnTo>
                              <a:lnTo>
                                <a:pt x="6528816" y="0"/>
                              </a:lnTo>
                              <a:close/>
                            </a:path>
                          </a:pathLst>
                        </a:custGeom>
                        <a:solidFill>
                          <a:srgbClr val="1F3863"/>
                        </a:solidFill>
                        <a:ln w="12700">
                          <a:solidFill>
                            <a:srgbClr val="1F497D">
                              <a:lumMod val="75000"/>
                            </a:srgbClr>
                          </a:solidFill>
                        </a:ln>
                      </wps:spPr>
                      <wps:bodyPr wrap="square" lIns="0" tIns="0" rIns="0" bIns="0" rtlCol="0">
                        <a:prstTxWarp prst="textNoShape">
                          <a:avLst/>
                        </a:prstTxWarp>
                        <a:noAutofit/>
                      </wps:bodyPr>
                    </wps:wsp>
                  </a:graphicData>
                </a:graphic>
              </wp:anchor>
            </w:drawing>
          </mc:Choice>
          <mc:Fallback>
            <w:pict>
              <v:shape w14:anchorId="33DF0F2D" id="Graphic 6" o:spid="_x0000_s1026" style="position:absolute;margin-left:36pt;margin-top:13.5pt;width:514.1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5290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Av+TQIAAC4FAAAOAAAAZHJzL2Uyb0RvYy54bWysVE1v2zAMvQ/YfxB0X2ynaz6MOMXQIMOA&#10;ri3QDDsrshwbk0VNUuLk34+SrdTbgAEbdrEp84l8fCS9uju3kpyEsQ2ogmaTlBKhOJSNOhT0y277&#10;bkGJdUyVTIISBb0IS+/Wb9+sOp2LKdQgS2EIBlE273RBa+d0niSW16JldgJaKHRWYFrm8GgOSWlY&#10;h9FbmUzTdJZ0YEptgAtr8eumd9J1iF9VgrunqrLCEVlQ5ObC04Tn3j+T9YrlB8N03fCBBvsHFi1r&#10;FCa9htowx8jRNL+FahtuwELlJhzaBKqq4SLUgNVk6S/VvNRMi1ALimP1VSb7/8Lyx9OLfjaeutUP&#10;wL9ZVCTptM2vHn+wA+ZcmdZjkTg5BxUvVxXF2RGOH2e302U6R7E5+rLpPA0qJyyPl/nRuo8CQiB2&#10;erCub0IZLVZHi59VNA220jdRhiY6SrCJhhJs4r5vombO3/PsvEm6EZM6EvHeFk5iBwHnfBHId7HI&#10;ZpTEUpDqK0aqMRarGqGiL751iNdjsmk2X3pmGC3647vHjfP+HToKGuNxCVb0qXzpIedVDsw/FtyC&#10;bMptI6UXwJrD/l4acmKobLa9WcxuBso/waTyavatDNf+EOP9cr4JmyCP7Wco+9Dz2/Q6BUPOQHKU&#10;Jcg0jF4/bX7u9lBeng3pcEELar8fmRGUyE8KN8BvczRMNPbRME7eQ9j50Ghj3e78lRlNNJoFdTis&#10;jxD3i+VxDJGFB/RYf1PBh6ODqvEzGtaiZzQccClDHcMPxG/9+BxQr7+59Q8AAAD//wMAUEsDBBQA&#10;BgAIAAAAIQDW0+WD3wAAAAkBAAAPAAAAZHJzL2Rvd25yZXYueG1sTI9BT8MwDIXvSPyHyEhcEEtW&#10;iQ1K0wmBOHGiMLTdstY0ZY1Tkmwt/x7vBCfLfk/P3ytWk+vFEUPsPGmYzxQIpNo3HbUa3t+er29B&#10;xGSoMb0n1PCDEVbl+Vlh8saP9IrHKrWCQyjmRoNNaciljLVFZ+LMD0isffrgTOI1tLIJZuRw18tM&#10;qYV0piP+YM2AjxbrfXVwGvYbu/j4Hr9ugllXTzW+jOurbav15cX0cA8i4ZT+zHDCZ3QomWnnD9RE&#10;0WtYZlwlaciWPE/6XKkMxI4vdwpkWcj/DcpfAAAA//8DAFBLAQItABQABgAIAAAAIQC2gziS/gAA&#10;AOEBAAATAAAAAAAAAAAAAAAAAAAAAABbQ29udGVudF9UeXBlc10ueG1sUEsBAi0AFAAGAAgAAAAh&#10;ADj9If/WAAAAlAEAAAsAAAAAAAAAAAAAAAAALwEAAF9yZWxzLy5yZWxzUEsBAi0AFAAGAAgAAAAh&#10;ANPgC/5NAgAALgUAAA4AAAAAAAAAAAAAAAAALgIAAGRycy9lMm9Eb2MueG1sUEsBAi0AFAAGAAgA&#10;AAAhANbT5YPfAAAACQEAAA8AAAAAAAAAAAAAAAAApwQAAGRycy9kb3ducmV2LnhtbFBLBQYAAAAA&#10;BAAEAPMAAACzBQAAAAA=&#10;" path="m6528816,l,,,12179r6528816,l6528816,xe" fillcolor="#1f3863" strokecolor="#17375e" strokeweight="1pt">
                <v:path arrowok="t"/>
                <w10:wrap type="topAndBottom" anchorx="page"/>
              </v:shape>
            </w:pict>
          </mc:Fallback>
        </mc:AlternateContent>
      </w:r>
      <w:r>
        <w:rPr>
          <w:b/>
          <w:bCs/>
          <w:color w:val="1F3863"/>
          <w:spacing w:val="-2"/>
          <w:w w:val="110"/>
          <w:shd w:val="clear" w:color="auto" w:fill="DBE5F1" w:themeFill="accent1" w:themeFillTint="33"/>
        </w:rPr>
        <w:t>PROFESSIONAL EXPERIENCE</w:t>
      </w:r>
      <w:r>
        <w:rPr>
          <w:b/>
          <w:bCs/>
          <w:color w:val="1F3863"/>
          <w:spacing w:val="-2"/>
          <w:w w:val="110"/>
        </w:rPr>
        <w:t xml:space="preserve"> </w:t>
      </w:r>
    </w:p>
    <w:p w14:paraId="137400EC" w14:textId="77777777" w:rsidR="00D27355" w:rsidRDefault="00D27355">
      <w:pPr>
        <w:pStyle w:val="BodyText"/>
        <w:ind w:firstLine="0"/>
        <w:rPr>
          <w:b/>
        </w:rPr>
      </w:pPr>
    </w:p>
    <w:p w14:paraId="645408BE" w14:textId="77777777" w:rsidR="00F6143B" w:rsidRDefault="00231B5B" w:rsidP="00F6143B">
      <w:pPr>
        <w:keepNext/>
        <w:ind w:left="287"/>
        <w:rPr>
          <w:sz w:val="19"/>
        </w:rPr>
      </w:pPr>
      <w:r>
        <w:rPr>
          <w:b/>
          <w:color w:val="1F497D" w:themeColor="text2"/>
        </w:rPr>
        <w:t>IT’S ELECTRIC, LLC</w:t>
      </w:r>
      <w:r>
        <w:rPr>
          <w:b/>
          <w:color w:val="1F497D" w:themeColor="text2"/>
          <w:spacing w:val="-5"/>
        </w:rPr>
        <w:t xml:space="preserve"> | </w:t>
      </w:r>
      <w:r>
        <w:rPr>
          <w:color w:val="1F497D" w:themeColor="text2"/>
          <w:sz w:val="19"/>
        </w:rPr>
        <w:t>Atlanta, GA</w:t>
      </w:r>
    </w:p>
    <w:p w14:paraId="06E044E8" w14:textId="01CFE86A" w:rsidR="00F6143B" w:rsidRDefault="00A04C10" w:rsidP="00F6143B">
      <w:pPr>
        <w:keepNext/>
        <w:spacing w:before="139"/>
        <w:ind w:left="287"/>
        <w:rPr>
          <w:sz w:val="19"/>
        </w:rPr>
      </w:pPr>
      <w:r>
        <w:rPr>
          <w:b/>
          <w:color w:val="262626" w:themeColor="text1" w:themeTint="D9"/>
          <w:sz w:val="21"/>
        </w:rPr>
        <w:t>Head of</w:t>
      </w:r>
      <w:r w:rsidR="007B3AB4">
        <w:rPr>
          <w:b/>
          <w:color w:val="262626" w:themeColor="text1" w:themeTint="D9"/>
          <w:sz w:val="21"/>
        </w:rPr>
        <w:t xml:space="preserve"> Information Technology (Fractional)  |  </w:t>
      </w:r>
      <w:r w:rsidR="007B3AB4">
        <w:rPr>
          <w:bCs/>
          <w:color w:val="262626" w:themeColor="text1" w:themeTint="D9"/>
          <w:sz w:val="21"/>
        </w:rPr>
        <w:t>2026 to Present</w:t>
      </w:r>
    </w:p>
    <w:p w14:paraId="64C030A0" w14:textId="77777777" w:rsidR="00F6143B" w:rsidRPr="00BF077B" w:rsidRDefault="00883B90" w:rsidP="00F6143B">
      <w:pPr>
        <w:keepNext/>
        <w:spacing w:before="51"/>
        <w:ind w:left="288" w:right="630"/>
        <w:rPr>
          <w:b/>
          <w:bCs/>
          <w:i/>
          <w:sz w:val="19"/>
        </w:rPr>
      </w:pPr>
      <w:r>
        <w:rPr>
          <w:b/>
          <w:bCs/>
          <w:i/>
          <w:color w:val="365F91" w:themeColor="accent1" w:themeShade="BF"/>
          <w:spacing w:val="-2"/>
          <w:sz w:val="19"/>
        </w:rPr>
        <w:t>Lead technology strategy, architecture, operations, governance, and investment planning as the sole technology executive for a growing commercial, industrial, low-voltage, healthcare, multifamily, and construction-services contractor.</w:t>
      </w:r>
    </w:p>
    <w:p w14:paraId="3C165ABE" w14:textId="77777777" w:rsidR="00F6143B" w:rsidRDefault="00F6143B" w:rsidP="00F6143B">
      <w:pPr>
        <w:pStyle w:val="BodyText"/>
        <w:keepNext/>
        <w:ind w:right="630" w:firstLine="0"/>
        <w:rPr>
          <w:i/>
        </w:rPr>
      </w:pPr>
    </w:p>
    <w:p w14:paraId="40A40516"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Advise the CEO and operating leaders on technology risk, solution architecture, vendor selection, and technology-enabled growth, with investment decisions framed by business case, total cost of ownership, and lifecycle impact.</w:t>
      </w:r>
    </w:p>
    <w:p w14:paraId="6F640391"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Established the technology operating model, multi-year roadmap, decision rights, governance standards, and vendor-management disciplines required to scale corporate and field operations.</w:t>
      </w:r>
    </w:p>
    <w:p w14:paraId="6AE9C510"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Architected a Microsoft 365 Business Premium digital workplace, including a hub-and-spoke SharePoint Online intranet with 11 associated sites, a Knowledge Center, and a Fleet Operations Management System deployed through PnP PowerShell.</w:t>
      </w:r>
    </w:p>
    <w:p w14:paraId="2539EC87"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Digitized fleet, project, HR, and leadership workflows through eight Power Automate flows, governed lists, and Office Scripts integration, replacing manual tracking with automated renewals, leadership digests, and follow-up enforcement.</w:t>
      </w:r>
    </w:p>
    <w:p w14:paraId="3A33B84E"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Created identity, privileged-access, joiner/mover/leaver, asset, incident, and continuity frameworks aligned with Entra ID, ITIL, and auditable accountability.</w:t>
      </w:r>
    </w:p>
    <w:p w14:paraId="6D326A31"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Built a training and development ecosystem with curriculum architecture, instructor and student editions, assessments, and role-based learning paths, including a five-week IT internship curriculum.</w:t>
      </w:r>
    </w:p>
    <w:p w14:paraId="4220BC2F" w14:textId="77777777" w:rsidR="00F6143B" w:rsidRDefault="00F6143B" w:rsidP="00F6143B">
      <w:pPr>
        <w:ind w:left="287"/>
        <w:rPr>
          <w:b/>
          <w:color w:val="1F497D" w:themeColor="text2"/>
        </w:rPr>
      </w:pPr>
    </w:p>
    <w:p w14:paraId="7CE01D94" w14:textId="77777777" w:rsidR="00F6143B" w:rsidRDefault="00231B5B" w:rsidP="00F6143B">
      <w:pPr>
        <w:keepNext/>
        <w:ind w:left="287"/>
        <w:rPr>
          <w:sz w:val="19"/>
        </w:rPr>
      </w:pPr>
      <w:r>
        <w:rPr>
          <w:b/>
          <w:color w:val="1F497D" w:themeColor="text2"/>
        </w:rPr>
        <w:t>FLOOR &amp; DECOR</w:t>
      </w:r>
      <w:r>
        <w:rPr>
          <w:b/>
          <w:color w:val="1F497D" w:themeColor="text2"/>
          <w:spacing w:val="-5"/>
        </w:rPr>
        <w:t xml:space="preserve"> | </w:t>
      </w:r>
      <w:r>
        <w:rPr>
          <w:color w:val="1F497D" w:themeColor="text2"/>
          <w:sz w:val="19"/>
        </w:rPr>
        <w:t>Atlanta, GA</w:t>
      </w:r>
    </w:p>
    <w:p w14:paraId="3CDBB40C" w14:textId="4DB5A0B3" w:rsidR="00F6143B" w:rsidRDefault="008438ED" w:rsidP="00F6143B">
      <w:pPr>
        <w:keepNext/>
        <w:spacing w:before="139"/>
        <w:ind w:left="287"/>
        <w:rPr>
          <w:sz w:val="19"/>
        </w:rPr>
      </w:pPr>
      <w:r>
        <w:rPr>
          <w:b/>
          <w:color w:val="262626" w:themeColor="text1" w:themeTint="D9"/>
          <w:sz w:val="21"/>
        </w:rPr>
        <w:t xml:space="preserve">Senior </w:t>
      </w:r>
      <w:r w:rsidR="007B3AB4">
        <w:rPr>
          <w:b/>
          <w:color w:val="262626" w:themeColor="text1" w:themeTint="D9"/>
          <w:sz w:val="21"/>
        </w:rPr>
        <w:t xml:space="preserve">Director, Corporate IT Operations  |  </w:t>
      </w:r>
      <w:r w:rsidR="007B3AB4">
        <w:rPr>
          <w:bCs/>
          <w:color w:val="262626" w:themeColor="text1" w:themeTint="D9"/>
          <w:sz w:val="21"/>
        </w:rPr>
        <w:t>202</w:t>
      </w:r>
      <w:r>
        <w:rPr>
          <w:bCs/>
          <w:color w:val="262626" w:themeColor="text1" w:themeTint="D9"/>
          <w:sz w:val="21"/>
        </w:rPr>
        <w:t>4</w:t>
      </w:r>
      <w:r w:rsidR="005A7098">
        <w:rPr>
          <w:bCs/>
          <w:color w:val="262626" w:themeColor="text1" w:themeTint="D9"/>
          <w:sz w:val="21"/>
        </w:rPr>
        <w:t xml:space="preserve"> to </w:t>
      </w:r>
      <w:r>
        <w:rPr>
          <w:bCs/>
          <w:color w:val="262626" w:themeColor="text1" w:themeTint="D9"/>
          <w:sz w:val="21"/>
        </w:rPr>
        <w:t>2026</w:t>
      </w:r>
    </w:p>
    <w:p w14:paraId="5396FECF" w14:textId="7F5BE81E" w:rsidR="00F6143B" w:rsidRPr="00BF077B" w:rsidRDefault="00883B90" w:rsidP="00F6143B">
      <w:pPr>
        <w:keepNext/>
        <w:spacing w:before="51"/>
        <w:ind w:left="288" w:right="630"/>
        <w:rPr>
          <w:b/>
          <w:bCs/>
          <w:i/>
          <w:sz w:val="19"/>
        </w:rPr>
      </w:pPr>
      <w:r>
        <w:rPr>
          <w:b/>
          <w:bCs/>
          <w:i/>
          <w:color w:val="365F91" w:themeColor="accent1" w:themeShade="BF"/>
          <w:spacing w:val="-2"/>
          <w:sz w:val="19"/>
        </w:rPr>
        <w:t xml:space="preserve">Promoted from Senior Manager after consistently </w:t>
      </w:r>
      <w:r w:rsidR="008438ED">
        <w:rPr>
          <w:b/>
          <w:bCs/>
          <w:i/>
          <w:color w:val="365F91" w:themeColor="accent1" w:themeShade="BF"/>
          <w:spacing w:val="-2"/>
          <w:sz w:val="19"/>
        </w:rPr>
        <w:t>“far-exceeding”</w:t>
      </w:r>
      <w:r>
        <w:rPr>
          <w:b/>
          <w:bCs/>
          <w:i/>
          <w:color w:val="365F91" w:themeColor="accent1" w:themeShade="BF"/>
          <w:spacing w:val="-2"/>
          <w:sz w:val="19"/>
        </w:rPr>
        <w:t xml:space="preserve"> performance reviews to lead Corporate IT Operations through an enterprise leadership succession and C-suite reorganization.</w:t>
      </w:r>
    </w:p>
    <w:p w14:paraId="62BA2BDB" w14:textId="77777777" w:rsidR="00F6143B" w:rsidRDefault="00F6143B" w:rsidP="00F6143B">
      <w:pPr>
        <w:pStyle w:val="BodyText"/>
        <w:keepNext/>
        <w:ind w:right="630" w:firstLine="0"/>
        <w:rPr>
          <w:i/>
        </w:rPr>
      </w:pPr>
    </w:p>
    <w:p w14:paraId="1B31568A"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Led a 28-person, regionally dispersed technology operations organization through functional managers and senior technical leaders, accountable for infrastructure operations, service delivery, end-user services, digital workplace, asset lifecycle, major incidents, and automation across 276+ stores, five design studios, five distribution centers, and corporate headquarters.</w:t>
      </w:r>
    </w:p>
    <w:p w14:paraId="4ED1A7C6"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Partnered with IT and HR leadership to redesign the organization around defined service functions, manager accountabilities, decision rights, and succession coverage, improving decision speed and end-to-end accountability.</w:t>
      </w:r>
    </w:p>
    <w:p w14:paraId="5C1E473F" w14:textId="214B67F4"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Governed an approximately $</w:t>
      </w:r>
      <w:r w:rsidR="00EC3972">
        <w:rPr>
          <w:rFonts w:asciiTheme="minorHAnsi" w:hAnsiTheme="minorHAnsi" w:cstheme="minorHAnsi"/>
          <w:color w:val="000000" w:themeColor="text1"/>
          <w:sz w:val="19"/>
          <w:szCs w:val="19"/>
        </w:rPr>
        <w:t>4</w:t>
      </w:r>
      <w:r>
        <w:rPr>
          <w:rFonts w:asciiTheme="minorHAnsi" w:hAnsiTheme="minorHAnsi" w:cstheme="minorHAnsi"/>
          <w:color w:val="000000" w:themeColor="text1"/>
          <w:sz w:val="19"/>
          <w:szCs w:val="19"/>
        </w:rPr>
        <w:t xml:space="preserve"> million annual IT portfolio within 2% of plan across demand intake, business cases, CAPEX/OPEX, licensing, and technology refresh for store and distribution growth.</w:t>
      </w:r>
    </w:p>
    <w:p w14:paraId="10A02072"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Directed strategic sourcing and commercial governance across managed service providers, technology partners, and licensing portfolios, contributing more than $1.1 million in recurring savings.</w:t>
      </w:r>
    </w:p>
    <w:p w14:paraId="6A095FBF"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Aligned application, infrastructure, cybersecurity, supply-chain, and business executives on operational readiness and support transition for Oracle Cloud ERP, Salesforce CRM, Manhattan Active WMS, MobileIQ, StorageBuy, and POS platforms.</w:t>
      </w:r>
    </w:p>
    <w:p w14:paraId="3235C53B" w14:textId="1EB4DDD8" w:rsidR="00F6143B" w:rsidRDefault="007B3AB4" w:rsidP="00F6143B">
      <w:pPr>
        <w:keepNext/>
        <w:spacing w:before="139"/>
        <w:ind w:left="287"/>
        <w:rPr>
          <w:sz w:val="19"/>
        </w:rPr>
      </w:pPr>
      <w:r>
        <w:rPr>
          <w:b/>
          <w:color w:val="262626" w:themeColor="text1" w:themeTint="D9"/>
          <w:sz w:val="21"/>
        </w:rPr>
        <w:t xml:space="preserve">Senior Manager, Corporate IT Operations  |  </w:t>
      </w:r>
      <w:r>
        <w:rPr>
          <w:bCs/>
          <w:color w:val="262626" w:themeColor="text1" w:themeTint="D9"/>
          <w:sz w:val="21"/>
        </w:rPr>
        <w:t>2022 to 202</w:t>
      </w:r>
      <w:r w:rsidR="008438ED">
        <w:rPr>
          <w:bCs/>
          <w:color w:val="262626" w:themeColor="text1" w:themeTint="D9"/>
          <w:sz w:val="21"/>
        </w:rPr>
        <w:t>4</w:t>
      </w:r>
    </w:p>
    <w:p w14:paraId="53DC2F51" w14:textId="77777777" w:rsidR="00F6143B" w:rsidRPr="00BF077B" w:rsidRDefault="00883B90" w:rsidP="00F6143B">
      <w:pPr>
        <w:keepNext/>
        <w:spacing w:before="51"/>
        <w:ind w:left="288" w:right="630"/>
        <w:rPr>
          <w:b/>
          <w:bCs/>
          <w:i/>
          <w:sz w:val="19"/>
        </w:rPr>
      </w:pPr>
      <w:r>
        <w:rPr>
          <w:b/>
          <w:bCs/>
          <w:i/>
          <w:color w:val="365F91" w:themeColor="accent1" w:themeShade="BF"/>
          <w:spacing w:val="-2"/>
          <w:sz w:val="19"/>
        </w:rPr>
        <w:t>Led the operational execution layer for a high-growth retail and distribution enterprise, combining direct service accountability, people leadership, cross-functional governance, and portfolio stewardship.</w:t>
      </w:r>
    </w:p>
    <w:p w14:paraId="411009D2" w14:textId="77777777" w:rsidR="00F6143B" w:rsidRDefault="00F6143B" w:rsidP="00F6143B">
      <w:pPr>
        <w:pStyle w:val="BodyText"/>
        <w:keepNext/>
        <w:ind w:right="630" w:firstLine="0"/>
        <w:rPr>
          <w:i/>
        </w:rPr>
      </w:pPr>
    </w:p>
    <w:p w14:paraId="1F559D80"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Scaled the technology operating model as the company grew from approximately 168 locations and 2,700 corporate employees to 276+ locations in 39 states and approximately 3,400 employees.</w:t>
      </w:r>
    </w:p>
    <w:p w14:paraId="3287F3AB"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Owned ITSM governance across Incident, Major Incident, Problem, Change, Request, Knowledge, and CMDB, running KPI, XLA, SLA, and CSAT scorecards with weekly and monthly business reviews.</w:t>
      </w:r>
    </w:p>
    <w:p w14:paraId="249BBB7E"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Served as primary P1/P2 escalation authority, establishing incident command, coordinating infrastructure, application, security, and vendor teams, and governing restoration, root-cause analysis, and corrective-action closure.</w:t>
      </w:r>
    </w:p>
    <w:p w14:paraId="0574987C"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Led digital workplace and endpoint execution across Intune, Windows Autopilot, Entra ID, Conditional Access, and Microsoft 365, standardizing zero-touch deployment, policy enforcement, and compliance.</w:t>
      </w:r>
    </w:p>
    <w:p w14:paraId="650A7A00"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Automated joiner/mover/leaver workflows, ticket routing, and request fulfillment by integrating HRIS, ServiceNow, Microsoft 365, identity services, and Moveworks AI.</w:t>
      </w:r>
    </w:p>
    <w:p w14:paraId="5DF7519A"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Directed end-to-end IT asset lifecycle governance from demand planning and procurement through deployment, recovery, and disposition, aligned with ServiceNow CMDB and financial controls.</w:t>
      </w:r>
    </w:p>
    <w:p w14:paraId="74026798" w14:textId="77777777" w:rsidR="00F6143B" w:rsidRDefault="00F6143B" w:rsidP="00F6143B">
      <w:pPr>
        <w:ind w:left="287"/>
        <w:rPr>
          <w:b/>
          <w:color w:val="1F497D" w:themeColor="text2"/>
        </w:rPr>
      </w:pPr>
    </w:p>
    <w:p w14:paraId="1B4D2C94" w14:textId="77777777" w:rsidR="00F6143B" w:rsidRDefault="00231B5B" w:rsidP="00F6143B">
      <w:pPr>
        <w:keepNext/>
        <w:ind w:left="287"/>
        <w:rPr>
          <w:sz w:val="19"/>
        </w:rPr>
      </w:pPr>
      <w:r>
        <w:rPr>
          <w:b/>
          <w:color w:val="1F497D" w:themeColor="text2"/>
        </w:rPr>
        <w:t>THYSSENKRUPP NORTH AMERICA</w:t>
      </w:r>
      <w:r>
        <w:rPr>
          <w:b/>
          <w:color w:val="1F497D" w:themeColor="text2"/>
          <w:spacing w:val="-5"/>
        </w:rPr>
        <w:t xml:space="preserve"> | </w:t>
      </w:r>
      <w:r>
        <w:rPr>
          <w:color w:val="1F497D" w:themeColor="text2"/>
          <w:sz w:val="19"/>
        </w:rPr>
        <w:t>Alpharetta, GA</w:t>
      </w:r>
    </w:p>
    <w:p w14:paraId="7AB3F511" w14:textId="77777777" w:rsidR="00F6143B" w:rsidRDefault="007B3AB4" w:rsidP="00F6143B">
      <w:pPr>
        <w:keepNext/>
        <w:spacing w:before="139"/>
        <w:ind w:left="287"/>
        <w:rPr>
          <w:sz w:val="19"/>
        </w:rPr>
      </w:pPr>
      <w:r>
        <w:rPr>
          <w:b/>
          <w:color w:val="262626" w:themeColor="text1" w:themeTint="D9"/>
          <w:sz w:val="21"/>
        </w:rPr>
        <w:t xml:space="preserve">Manager II, IT Operations, Infrastructure, and End-User Services  |  </w:t>
      </w:r>
      <w:r>
        <w:rPr>
          <w:bCs/>
          <w:color w:val="262626" w:themeColor="text1" w:themeTint="D9"/>
          <w:sz w:val="21"/>
        </w:rPr>
        <w:t>2012 to 2022</w:t>
      </w:r>
    </w:p>
    <w:p w14:paraId="64CD7C11" w14:textId="77777777" w:rsidR="00F6143B" w:rsidRPr="00BF077B" w:rsidRDefault="00883B90" w:rsidP="00F6143B">
      <w:pPr>
        <w:keepNext/>
        <w:spacing w:before="51"/>
        <w:ind w:left="288" w:right="630"/>
        <w:rPr>
          <w:b/>
          <w:bCs/>
          <w:i/>
          <w:sz w:val="19"/>
        </w:rPr>
      </w:pPr>
      <w:r>
        <w:rPr>
          <w:b/>
          <w:bCs/>
          <w:i/>
          <w:color w:val="365F91" w:themeColor="accent1" w:themeShade="BF"/>
          <w:spacing w:val="-2"/>
          <w:sz w:val="19"/>
        </w:rPr>
        <w:t>Led IT operations, infrastructure services, and end-user technology across 60+ manufacturing and corporate locations and 17,000+ users in a 24x7x365 multinational environment where plant availability and rapid recovery drove production continuity.</w:t>
      </w:r>
    </w:p>
    <w:p w14:paraId="3A1D91C9" w14:textId="77777777" w:rsidR="00F6143B" w:rsidRDefault="00F6143B" w:rsidP="00F6143B">
      <w:pPr>
        <w:pStyle w:val="BodyText"/>
        <w:keepNext/>
        <w:ind w:right="630" w:firstLine="0"/>
        <w:rPr>
          <w:i/>
        </w:rPr>
      </w:pPr>
    </w:p>
    <w:p w14:paraId="1B6E9E4B"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Led 21 senior infrastructure and operations professionals supporting manufacturing, distribution, field, and corporate environments across North America.</w:t>
      </w:r>
    </w:p>
    <w:p w14:paraId="7DBB67A7"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Co-led the consolidation of three legacy systems into SAP S/4HANA, aligning infrastructure readiness, cutover support, and service transition with plant and corporate priorities.</w:t>
      </w:r>
    </w:p>
    <w:p w14:paraId="19846BA7"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Directed infrastructure operations, network and workplace support, disaster-recovery readiness, lifecycle planning, and vendor performance across the region.</w:t>
      </w:r>
    </w:p>
    <w:p w14:paraId="0822B46C"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Authored or co-authored the Incident Response Management, Asset Lifecycle Management, and joiner/mover/leaver governance models, strengthening escalation responsiveness, audit readiness, and root-cause follow-through.</w:t>
      </w:r>
    </w:p>
    <w:p w14:paraId="3670430A"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Partnered with global technology, cybersecurity, application, and manufacturing leaders on transformation roadmaps, enterprise integrations, and cost optimization.</w:t>
      </w:r>
    </w:p>
    <w:p w14:paraId="2C802B22" w14:textId="77777777" w:rsidR="00F6143B" w:rsidRDefault="007B3AB4" w:rsidP="00F6143B">
      <w:pPr>
        <w:keepNext/>
        <w:spacing w:before="139"/>
        <w:ind w:left="287"/>
        <w:rPr>
          <w:sz w:val="19"/>
        </w:rPr>
      </w:pPr>
      <w:r>
        <w:rPr>
          <w:b/>
          <w:color w:val="262626" w:themeColor="text1" w:themeTint="D9"/>
          <w:sz w:val="21"/>
        </w:rPr>
        <w:t xml:space="preserve">Manager, IT Operations, Infrastructure, and End-User Services  |  </w:t>
      </w:r>
      <w:r>
        <w:rPr>
          <w:bCs/>
          <w:color w:val="262626" w:themeColor="text1" w:themeTint="D9"/>
          <w:sz w:val="21"/>
        </w:rPr>
        <w:t>2011 to 2012</w:t>
      </w:r>
    </w:p>
    <w:p w14:paraId="4C037338"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Managed infrastructure and end-user technology services for distributed manufacturing and corporate locations, directing senior technical staff and contractors through workload priorities, escalations, and production-critical incident response.</w:t>
      </w:r>
    </w:p>
    <w:p w14:paraId="3B680A34" w14:textId="77777777" w:rsidR="00D4775F" w:rsidRPr="00D4775F" w:rsidRDefault="00D4775F" w:rsidP="0020423C">
      <w:pPr>
        <w:pStyle w:val="ListBullet"/>
        <w:numPr>
          <w:ilvl w:val="0"/>
          <w:numId w:val="3"/>
        </w:numPr>
        <w:spacing w:after="22"/>
        <w:ind w:left="540" w:right="630"/>
        <w:rPr>
          <w:rFonts w:asciiTheme="minorHAnsi" w:hAnsiTheme="minorHAnsi" w:cstheme="minorHAnsi"/>
          <w:color w:val="000000" w:themeColor="text1"/>
          <w:sz w:val="19"/>
          <w:szCs w:val="19"/>
        </w:rPr>
      </w:pPr>
      <w:r>
        <w:rPr>
          <w:rFonts w:asciiTheme="minorHAnsi" w:hAnsiTheme="minorHAnsi" w:cstheme="minorHAnsi"/>
          <w:color w:val="000000" w:themeColor="text1"/>
          <w:sz w:val="19"/>
          <w:szCs w:val="19"/>
        </w:rPr>
        <w:t>Earned promotion to Manager II within one year based on delivery, customer partnership, and performance excellence.</w:t>
      </w:r>
    </w:p>
    <w:p w14:paraId="215C4515" w14:textId="77777777" w:rsidR="009A2D3A" w:rsidRPr="009A2D3A" w:rsidRDefault="009A2D3A" w:rsidP="009A2D3A">
      <w:pPr>
        <w:tabs>
          <w:tab w:val="left" w:pos="767"/>
        </w:tabs>
        <w:spacing w:line="235" w:lineRule="auto"/>
        <w:ind w:right="1126"/>
        <w:rPr>
          <w:sz w:val="19"/>
        </w:rPr>
      </w:pPr>
    </w:p>
    <w:p w14:paraId="6BD30873" w14:textId="77777777" w:rsidR="00D27355" w:rsidRDefault="00922EBB">
      <w:pPr>
        <w:pStyle w:val="Heading1"/>
      </w:pPr>
      <w:r>
        <w:rPr>
          <w:color w:val="1F3863"/>
          <w:w w:val="105"/>
        </w:rPr>
        <w:t>EDUCATION</w:t>
      </w:r>
      <w:r>
        <w:rPr>
          <w:color w:val="1F3863"/>
          <w:spacing w:val="-5"/>
          <w:w w:val="105"/>
        </w:rPr>
        <w:t xml:space="preserve"> </w:t>
      </w:r>
      <w:r>
        <w:rPr>
          <w:color w:val="1F3863"/>
          <w:w w:val="105"/>
        </w:rPr>
        <w:t>AND</w:t>
      </w:r>
      <w:r>
        <w:rPr>
          <w:color w:val="1F3863"/>
          <w:spacing w:val="-6"/>
          <w:w w:val="105"/>
        </w:rPr>
        <w:t xml:space="preserve"> </w:t>
      </w:r>
      <w:r>
        <w:rPr>
          <w:color w:val="1F3863"/>
          <w:spacing w:val="-2"/>
          <w:w w:val="105"/>
        </w:rPr>
        <w:t>CERTIFICATIONS</w:t>
      </w:r>
    </w:p>
    <w:p w14:paraId="19F80B1B" w14:textId="77777777" w:rsidR="00D27355" w:rsidRDefault="00D27355" w:rsidP="00DC3DDF">
      <w:pPr>
        <w:pStyle w:val="BodyText"/>
        <w:ind w:firstLine="0"/>
        <w:rPr>
          <w:b/>
          <w:sz w:val="20"/>
        </w:rPr>
      </w:pPr>
    </w:p>
    <w:p w14:paraId="5BCED0DD" w14:textId="77777777" w:rsidR="00D27355" w:rsidRDefault="00922EBB">
      <w:pPr>
        <w:pStyle w:val="Heading3"/>
      </w:pPr>
      <w:r>
        <w:rPr>
          <w:color w:val="2D2D2D"/>
        </w:rPr>
        <w:t>Master</w:t>
      </w:r>
      <w:r>
        <w:rPr>
          <w:color w:val="2D2D2D"/>
          <w:spacing w:val="4"/>
        </w:rPr>
        <w:t xml:space="preserve"> </w:t>
      </w:r>
      <w:r>
        <w:rPr>
          <w:color w:val="2D2D2D"/>
        </w:rPr>
        <w:t>of</w:t>
      </w:r>
      <w:r>
        <w:rPr>
          <w:color w:val="2D2D2D"/>
          <w:spacing w:val="4"/>
        </w:rPr>
        <w:t xml:space="preserve"> </w:t>
      </w:r>
      <w:r>
        <w:rPr>
          <w:color w:val="2D2D2D"/>
        </w:rPr>
        <w:t>Professional</w:t>
      </w:r>
      <w:r>
        <w:rPr>
          <w:color w:val="2D2D2D"/>
          <w:spacing w:val="5"/>
        </w:rPr>
        <w:t xml:space="preserve"> </w:t>
      </w:r>
      <w:r>
        <w:rPr>
          <w:color w:val="2D2D2D"/>
        </w:rPr>
        <w:t>Studies</w:t>
      </w:r>
      <w:r>
        <w:rPr>
          <w:color w:val="2D2D2D"/>
          <w:spacing w:val="4"/>
        </w:rPr>
        <w:t xml:space="preserve"> </w:t>
      </w:r>
      <w:r>
        <w:rPr>
          <w:color w:val="2D2D2D"/>
        </w:rPr>
        <w:t>(MPS),</w:t>
      </w:r>
      <w:r>
        <w:rPr>
          <w:color w:val="2D2D2D"/>
          <w:spacing w:val="6"/>
        </w:rPr>
        <w:t xml:space="preserve"> </w:t>
      </w:r>
      <w:r>
        <w:rPr>
          <w:color w:val="2D2D2D"/>
          <w:spacing w:val="-2"/>
        </w:rPr>
        <w:t xml:space="preserve">Management </w:t>
      </w:r>
      <w:r>
        <w:rPr>
          <w:color w:val="2D2D2D"/>
        </w:rPr>
        <w:t>Information</w:t>
      </w:r>
      <w:r>
        <w:rPr>
          <w:color w:val="2D2D2D"/>
          <w:spacing w:val="4"/>
        </w:rPr>
        <w:t xml:space="preserve"> </w:t>
      </w:r>
      <w:r>
        <w:rPr>
          <w:color w:val="2D2D2D"/>
        </w:rPr>
        <w:t>Technology</w:t>
      </w:r>
      <w:r>
        <w:rPr>
          <w:color w:val="2D2D2D"/>
          <w:spacing w:val="5"/>
        </w:rPr>
        <w:t xml:space="preserve"> </w:t>
      </w:r>
    </w:p>
    <w:p w14:paraId="282FA81F" w14:textId="77777777" w:rsidR="00D27355" w:rsidRDefault="00922EBB">
      <w:pPr>
        <w:pStyle w:val="BodyText"/>
        <w:spacing w:before="32"/>
        <w:ind w:left="287" w:firstLine="0"/>
      </w:pPr>
      <w:r>
        <w:rPr>
          <w:color w:val="545454"/>
          <w:w w:val="95"/>
        </w:rPr>
        <w:t>Georgetown</w:t>
      </w:r>
      <w:r>
        <w:rPr>
          <w:color w:val="545454"/>
          <w:spacing w:val="-1"/>
        </w:rPr>
        <w:t xml:space="preserve"> </w:t>
      </w:r>
      <w:r>
        <w:rPr>
          <w:color w:val="545454"/>
          <w:w w:val="95"/>
        </w:rPr>
        <w:t>University</w:t>
      </w:r>
      <w:r>
        <w:rPr>
          <w:color w:val="545454"/>
          <w:spacing w:val="-1"/>
        </w:rPr>
        <w:t xml:space="preserve"> | </w:t>
      </w:r>
      <w:r>
        <w:rPr>
          <w:color w:val="545454"/>
          <w:w w:val="95"/>
        </w:rPr>
        <w:t>4.0</w:t>
      </w:r>
      <w:r>
        <w:rPr>
          <w:color w:val="545454"/>
          <w:spacing w:val="-1"/>
        </w:rPr>
        <w:t xml:space="preserve"> </w:t>
      </w:r>
      <w:r>
        <w:rPr>
          <w:color w:val="545454"/>
          <w:w w:val="95"/>
        </w:rPr>
        <w:t>GPA</w:t>
      </w:r>
      <w:r>
        <w:rPr>
          <w:color w:val="545454"/>
        </w:rPr>
        <w:t xml:space="preserve"> | </w:t>
      </w:r>
      <w:r>
        <w:rPr>
          <w:color w:val="545454"/>
          <w:w w:val="95"/>
        </w:rPr>
        <w:t>Honors</w:t>
      </w:r>
      <w:r>
        <w:rPr>
          <w:color w:val="545454"/>
          <w:spacing w:val="1"/>
        </w:rPr>
        <w:t xml:space="preserve"> </w:t>
      </w:r>
      <w:r>
        <w:rPr>
          <w:color w:val="545454"/>
          <w:spacing w:val="-2"/>
          <w:w w:val="95"/>
        </w:rPr>
        <w:t>Graduate</w:t>
      </w:r>
    </w:p>
    <w:p w14:paraId="47516E13" w14:textId="77777777" w:rsidR="00D27355" w:rsidRDefault="00922EBB">
      <w:pPr>
        <w:pStyle w:val="Heading3"/>
        <w:spacing w:before="78"/>
      </w:pPr>
      <w:r>
        <w:rPr>
          <w:color w:val="2D2D2D"/>
        </w:rPr>
        <w:t>Bachelor</w:t>
      </w:r>
      <w:r>
        <w:rPr>
          <w:color w:val="2D2D2D"/>
          <w:spacing w:val="10"/>
        </w:rPr>
        <w:t xml:space="preserve"> </w:t>
      </w:r>
      <w:r>
        <w:rPr>
          <w:color w:val="2D2D2D"/>
        </w:rPr>
        <w:t>of</w:t>
      </w:r>
      <w:r>
        <w:rPr>
          <w:color w:val="2D2D2D"/>
          <w:spacing w:val="11"/>
        </w:rPr>
        <w:t xml:space="preserve"> </w:t>
      </w:r>
      <w:r>
        <w:rPr>
          <w:color w:val="2D2D2D"/>
        </w:rPr>
        <w:t>Science</w:t>
      </w:r>
      <w:r>
        <w:rPr>
          <w:color w:val="2D2D2D"/>
          <w:spacing w:val="12"/>
        </w:rPr>
        <w:t xml:space="preserve"> </w:t>
      </w:r>
      <w:r>
        <w:rPr>
          <w:color w:val="2D2D2D"/>
        </w:rPr>
        <w:t>(BS),</w:t>
      </w:r>
      <w:r>
        <w:rPr>
          <w:color w:val="2D2D2D"/>
          <w:spacing w:val="12"/>
        </w:rPr>
        <w:t xml:space="preserve"> </w:t>
      </w:r>
      <w:r>
        <w:rPr>
          <w:color w:val="2D2D2D"/>
        </w:rPr>
        <w:t>Information</w:t>
      </w:r>
      <w:r>
        <w:rPr>
          <w:color w:val="2D2D2D"/>
          <w:spacing w:val="15"/>
        </w:rPr>
        <w:t xml:space="preserve"> </w:t>
      </w:r>
      <w:r>
        <w:rPr>
          <w:color w:val="2D2D2D"/>
          <w:spacing w:val="-2"/>
        </w:rPr>
        <w:t>Technology</w:t>
      </w:r>
    </w:p>
    <w:p w14:paraId="19F8AD51" w14:textId="77777777" w:rsidR="00D27355" w:rsidRDefault="00922EBB">
      <w:pPr>
        <w:pStyle w:val="BodyText"/>
        <w:spacing w:before="32"/>
        <w:ind w:left="287" w:firstLine="0"/>
      </w:pPr>
      <w:r>
        <w:rPr>
          <w:color w:val="545454"/>
          <w:w w:val="95"/>
        </w:rPr>
        <w:t>Herzing</w:t>
      </w:r>
      <w:r>
        <w:rPr>
          <w:color w:val="545454"/>
          <w:spacing w:val="3"/>
        </w:rPr>
        <w:t xml:space="preserve"> </w:t>
      </w:r>
      <w:r>
        <w:rPr>
          <w:color w:val="545454"/>
          <w:w w:val="95"/>
        </w:rPr>
        <w:t>University</w:t>
      </w:r>
      <w:r>
        <w:rPr>
          <w:color w:val="545454"/>
          <w:spacing w:val="3"/>
        </w:rPr>
        <w:t xml:space="preserve"> | </w:t>
      </w:r>
      <w:r>
        <w:rPr>
          <w:color w:val="545454"/>
          <w:w w:val="95"/>
        </w:rPr>
        <w:t>4.0</w:t>
      </w:r>
      <w:r>
        <w:rPr>
          <w:color w:val="545454"/>
          <w:spacing w:val="2"/>
        </w:rPr>
        <w:t xml:space="preserve"> </w:t>
      </w:r>
      <w:r>
        <w:rPr>
          <w:color w:val="545454"/>
          <w:w w:val="95"/>
        </w:rPr>
        <w:t>GPA</w:t>
      </w:r>
      <w:r>
        <w:rPr>
          <w:color w:val="545454"/>
          <w:spacing w:val="4"/>
        </w:rPr>
        <w:t xml:space="preserve"> | </w:t>
      </w:r>
      <w:r>
        <w:rPr>
          <w:color w:val="545454"/>
          <w:w w:val="95"/>
        </w:rPr>
        <w:t>Summa</w:t>
      </w:r>
      <w:r>
        <w:rPr>
          <w:color w:val="545454"/>
          <w:spacing w:val="4"/>
        </w:rPr>
        <w:t xml:space="preserve"> </w:t>
      </w:r>
      <w:r>
        <w:rPr>
          <w:color w:val="545454"/>
          <w:w w:val="95"/>
        </w:rPr>
        <w:t>Cum</w:t>
      </w:r>
      <w:r>
        <w:rPr>
          <w:color w:val="545454"/>
          <w:spacing w:val="6"/>
        </w:rPr>
        <w:t xml:space="preserve"> </w:t>
      </w:r>
      <w:r>
        <w:rPr>
          <w:color w:val="545454"/>
          <w:spacing w:val="-2"/>
          <w:w w:val="95"/>
        </w:rPr>
        <w:t>Laude</w:t>
      </w:r>
    </w:p>
    <w:p w14:paraId="741DAACE" w14:textId="77777777" w:rsidR="00D27355" w:rsidRDefault="00922EBB" w:rsidP="007C06CC">
      <w:pPr>
        <w:pStyle w:val="Heading3"/>
        <w:tabs>
          <w:tab w:val="right" w:pos="11160"/>
        </w:tabs>
        <w:spacing w:before="77"/>
        <w:ind w:left="288"/>
      </w:pPr>
      <w:r>
        <w:rPr>
          <w:color w:val="2D2D2D"/>
        </w:rPr>
        <w:t>Technical Diploma,</w:t>
      </w:r>
      <w:r>
        <w:rPr>
          <w:color w:val="2D2D2D"/>
          <w:spacing w:val="3"/>
        </w:rPr>
        <w:t xml:space="preserve"> </w:t>
      </w:r>
      <w:r>
        <w:rPr>
          <w:color w:val="2D2D2D"/>
        </w:rPr>
        <w:t>Network</w:t>
      </w:r>
      <w:r>
        <w:rPr>
          <w:color w:val="2D2D2D"/>
          <w:spacing w:val="3"/>
        </w:rPr>
        <w:t xml:space="preserve"> </w:t>
      </w:r>
      <w:r>
        <w:rPr>
          <w:color w:val="2D2D2D"/>
        </w:rPr>
        <w:t>Engineering</w:t>
      </w:r>
      <w:r>
        <w:rPr>
          <w:color w:val="2D2D2D"/>
          <w:spacing w:val="5"/>
        </w:rPr>
        <w:t xml:space="preserve"> </w:t>
      </w:r>
      <w:r>
        <w:rPr>
          <w:color w:val="2D2D2D"/>
        </w:rPr>
        <w:t>and</w:t>
      </w:r>
      <w:r>
        <w:rPr>
          <w:color w:val="2D2D2D"/>
          <w:spacing w:val="2"/>
        </w:rPr>
        <w:t xml:space="preserve"> </w:t>
      </w:r>
      <w:r>
        <w:rPr>
          <w:color w:val="2D2D2D"/>
          <w:spacing w:val="-2"/>
        </w:rPr>
        <w:t>Management</w:t>
      </w:r>
      <w:r>
        <w:rPr>
          <w:color w:val="2D2D2D"/>
          <w:spacing w:val="-2"/>
        </w:rPr>
        <w:tab/>
      </w:r>
    </w:p>
    <w:p w14:paraId="312E8B63" w14:textId="77777777" w:rsidR="007C06CC" w:rsidRDefault="00922EBB" w:rsidP="007C06CC">
      <w:pPr>
        <w:pStyle w:val="BodyText"/>
        <w:spacing w:before="32" w:after="240" w:line="276" w:lineRule="auto"/>
        <w:ind w:left="287" w:right="5857" w:firstLine="0"/>
        <w:rPr>
          <w:color w:val="545454"/>
        </w:rPr>
      </w:pPr>
      <w:r>
        <w:rPr>
          <w:color w:val="545454"/>
        </w:rPr>
        <w:t xml:space="preserve">Computer Learning Centers | 4.0 GPA | Summa Cum Laude </w:t>
      </w:r>
    </w:p>
    <w:p w14:paraId="61A613D4" w14:textId="77777777" w:rsidR="00D27355" w:rsidRPr="007C06CC" w:rsidRDefault="00922EBB" w:rsidP="00F44187">
      <w:pPr>
        <w:pStyle w:val="BodyText"/>
        <w:spacing w:line="276" w:lineRule="auto"/>
        <w:ind w:left="287" w:right="5857" w:firstLine="0"/>
        <w:rPr>
          <w:b/>
          <w:bCs/>
        </w:rPr>
      </w:pPr>
      <w:r>
        <w:rPr>
          <w:b/>
          <w:bCs/>
          <w:color w:val="2D2D2D"/>
          <w:sz w:val="18"/>
          <w:szCs w:val="18"/>
        </w:rPr>
        <w:t>Certifications: ITIL 4 | Certified Agile Leadership | Leading People</w:t>
      </w:r>
    </w:p>
    <w:sectPr w:rsidR="00D27355" w:rsidRPr="007C06CC" w:rsidSect="00440D3F">
      <w:footerReference w:type="default" r:id="rId8"/>
      <w:footerReference w:type="first" r:id="rId9"/>
      <w:pgSz w:w="12240" w:h="15840"/>
      <w:pgMar w:top="640" w:right="360" w:bottom="900" w:left="720"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71874" w14:textId="77777777" w:rsidR="002E156F" w:rsidRDefault="002E156F">
      <w:r>
        <w:separator/>
      </w:r>
    </w:p>
  </w:endnote>
  <w:endnote w:type="continuationSeparator" w:id="0">
    <w:p w14:paraId="41111C65" w14:textId="77777777" w:rsidR="002E156F" w:rsidRDefault="002E1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96BBB" w14:textId="77777777" w:rsidR="00D27355" w:rsidRDefault="004D370B" w:rsidP="00440D3F">
    <w:pPr>
      <w:pStyle w:val="Footer"/>
      <w:spacing w:before="240"/>
      <w:ind w:right="630"/>
      <w:rPr>
        <w:sz w:val="20"/>
      </w:rPr>
    </w:pPr>
    <w:r>
      <w:rPr>
        <w:noProof/>
        <w:sz w:val="20"/>
      </w:rPr>
      <w:drawing>
        <wp:inline distT="0" distB="0" distL="0" distR="0" wp14:anchorId="65C8794B" wp14:editId="4ADF2026">
          <wp:extent cx="6687820" cy="209550"/>
          <wp:effectExtent l="0" t="0" r="0" b="0"/>
          <wp:docPr id="519717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7820" cy="20955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C8EB" w14:textId="77777777" w:rsidR="002B2D92" w:rsidRDefault="003415FE">
    <w:pPr>
      <w:pStyle w:val="Footer"/>
    </w:pPr>
    <w:r>
      <w:rPr>
        <w:noProof/>
        <w:sz w:val="20"/>
      </w:rPr>
      <w:drawing>
        <wp:inline distT="0" distB="0" distL="0" distR="0" wp14:anchorId="6C13434B" wp14:editId="3A098085">
          <wp:extent cx="6687820" cy="209550"/>
          <wp:effectExtent l="0" t="0" r="0" b="0"/>
          <wp:docPr id="1856984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7820" cy="2095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10431" w14:textId="77777777" w:rsidR="002E156F" w:rsidRDefault="002E156F">
      <w:r>
        <w:separator/>
      </w:r>
    </w:p>
  </w:footnote>
  <w:footnote w:type="continuationSeparator" w:id="0">
    <w:p w14:paraId="052C63E9" w14:textId="77777777" w:rsidR="002E156F" w:rsidRDefault="002E15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C0A4F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7520C4"/>
    <w:multiLevelType w:val="hybridMultilevel"/>
    <w:tmpl w:val="23AA7584"/>
    <w:lvl w:ilvl="0" w:tplc="04090005">
      <w:start w:val="1"/>
      <w:numFmt w:val="bullet"/>
      <w:lvlText w:val=""/>
      <w:lvlJc w:val="left"/>
      <w:pPr>
        <w:ind w:left="768" w:hanging="281"/>
      </w:pPr>
      <w:rPr>
        <w:rFonts w:ascii="Wingdings" w:hAnsi="Wingdings" w:hint="default"/>
        <w:b w:val="0"/>
        <w:bCs w:val="0"/>
        <w:i w:val="0"/>
        <w:iCs w:val="0"/>
        <w:color w:val="2D2D2D"/>
        <w:spacing w:val="0"/>
        <w:w w:val="93"/>
        <w:sz w:val="20"/>
        <w:szCs w:val="20"/>
        <w:lang w:val="en-US" w:eastAsia="en-US" w:bidi="ar-SA"/>
      </w:rPr>
    </w:lvl>
    <w:lvl w:ilvl="1" w:tplc="FFFFFFFF">
      <w:numFmt w:val="bullet"/>
      <w:lvlText w:val="•"/>
      <w:lvlJc w:val="left"/>
      <w:pPr>
        <w:ind w:left="1800" w:hanging="281"/>
      </w:pPr>
      <w:rPr>
        <w:rFonts w:hint="default"/>
        <w:lang w:val="en-US" w:eastAsia="en-US" w:bidi="ar-SA"/>
      </w:rPr>
    </w:lvl>
    <w:lvl w:ilvl="2" w:tplc="FFFFFFFF">
      <w:numFmt w:val="bullet"/>
      <w:lvlText w:val="•"/>
      <w:lvlJc w:val="left"/>
      <w:pPr>
        <w:ind w:left="2840" w:hanging="281"/>
      </w:pPr>
      <w:rPr>
        <w:rFonts w:hint="default"/>
        <w:lang w:val="en-US" w:eastAsia="en-US" w:bidi="ar-SA"/>
      </w:rPr>
    </w:lvl>
    <w:lvl w:ilvl="3" w:tplc="FFFFFFFF">
      <w:numFmt w:val="bullet"/>
      <w:lvlText w:val="•"/>
      <w:lvlJc w:val="left"/>
      <w:pPr>
        <w:ind w:left="3880" w:hanging="281"/>
      </w:pPr>
      <w:rPr>
        <w:rFonts w:hint="default"/>
        <w:lang w:val="en-US" w:eastAsia="en-US" w:bidi="ar-SA"/>
      </w:rPr>
    </w:lvl>
    <w:lvl w:ilvl="4" w:tplc="FFFFFFFF">
      <w:numFmt w:val="bullet"/>
      <w:lvlText w:val="•"/>
      <w:lvlJc w:val="left"/>
      <w:pPr>
        <w:ind w:left="4920" w:hanging="281"/>
      </w:pPr>
      <w:rPr>
        <w:rFonts w:hint="default"/>
        <w:lang w:val="en-US" w:eastAsia="en-US" w:bidi="ar-SA"/>
      </w:rPr>
    </w:lvl>
    <w:lvl w:ilvl="5" w:tplc="FFFFFFFF">
      <w:numFmt w:val="bullet"/>
      <w:lvlText w:val="•"/>
      <w:lvlJc w:val="left"/>
      <w:pPr>
        <w:ind w:left="5960" w:hanging="281"/>
      </w:pPr>
      <w:rPr>
        <w:rFonts w:hint="default"/>
        <w:lang w:val="en-US" w:eastAsia="en-US" w:bidi="ar-SA"/>
      </w:rPr>
    </w:lvl>
    <w:lvl w:ilvl="6" w:tplc="FFFFFFFF">
      <w:numFmt w:val="bullet"/>
      <w:lvlText w:val="•"/>
      <w:lvlJc w:val="left"/>
      <w:pPr>
        <w:ind w:left="7000" w:hanging="281"/>
      </w:pPr>
      <w:rPr>
        <w:rFonts w:hint="default"/>
        <w:lang w:val="en-US" w:eastAsia="en-US" w:bidi="ar-SA"/>
      </w:rPr>
    </w:lvl>
    <w:lvl w:ilvl="7" w:tplc="FFFFFFFF">
      <w:numFmt w:val="bullet"/>
      <w:lvlText w:val="•"/>
      <w:lvlJc w:val="left"/>
      <w:pPr>
        <w:ind w:left="8040" w:hanging="281"/>
      </w:pPr>
      <w:rPr>
        <w:rFonts w:hint="default"/>
        <w:lang w:val="en-US" w:eastAsia="en-US" w:bidi="ar-SA"/>
      </w:rPr>
    </w:lvl>
    <w:lvl w:ilvl="8" w:tplc="FFFFFFFF">
      <w:numFmt w:val="bullet"/>
      <w:lvlText w:val="•"/>
      <w:lvlJc w:val="left"/>
      <w:pPr>
        <w:ind w:left="9080" w:hanging="281"/>
      </w:pPr>
      <w:rPr>
        <w:rFonts w:hint="default"/>
        <w:lang w:val="en-US" w:eastAsia="en-US" w:bidi="ar-SA"/>
      </w:rPr>
    </w:lvl>
  </w:abstractNum>
  <w:abstractNum w:abstractNumId="2" w15:restartNumberingAfterBreak="0">
    <w:nsid w:val="241918F5"/>
    <w:multiLevelType w:val="hybridMultilevel"/>
    <w:tmpl w:val="5D6EBBC0"/>
    <w:lvl w:ilvl="0" w:tplc="04090005">
      <w:start w:val="1"/>
      <w:numFmt w:val="bullet"/>
      <w:lvlText w:val=""/>
      <w:lvlJc w:val="left"/>
      <w:pPr>
        <w:ind w:left="768" w:hanging="281"/>
      </w:pPr>
      <w:rPr>
        <w:rFonts w:ascii="Wingdings" w:hAnsi="Wingdings" w:hint="default"/>
        <w:b w:val="0"/>
        <w:bCs w:val="0"/>
        <w:i w:val="0"/>
        <w:iCs w:val="0"/>
        <w:color w:val="2D2D2D"/>
        <w:spacing w:val="0"/>
        <w:w w:val="93"/>
        <w:sz w:val="20"/>
        <w:szCs w:val="20"/>
        <w:lang w:val="en-US" w:eastAsia="en-US" w:bidi="ar-SA"/>
      </w:rPr>
    </w:lvl>
    <w:lvl w:ilvl="1" w:tplc="FFFFFFFF">
      <w:numFmt w:val="bullet"/>
      <w:lvlText w:val="•"/>
      <w:lvlJc w:val="left"/>
      <w:pPr>
        <w:ind w:left="1800" w:hanging="281"/>
      </w:pPr>
      <w:rPr>
        <w:rFonts w:hint="default"/>
        <w:lang w:val="en-US" w:eastAsia="en-US" w:bidi="ar-SA"/>
      </w:rPr>
    </w:lvl>
    <w:lvl w:ilvl="2" w:tplc="FFFFFFFF">
      <w:numFmt w:val="bullet"/>
      <w:lvlText w:val="•"/>
      <w:lvlJc w:val="left"/>
      <w:pPr>
        <w:ind w:left="2840" w:hanging="281"/>
      </w:pPr>
      <w:rPr>
        <w:rFonts w:hint="default"/>
        <w:lang w:val="en-US" w:eastAsia="en-US" w:bidi="ar-SA"/>
      </w:rPr>
    </w:lvl>
    <w:lvl w:ilvl="3" w:tplc="FFFFFFFF">
      <w:numFmt w:val="bullet"/>
      <w:lvlText w:val="•"/>
      <w:lvlJc w:val="left"/>
      <w:pPr>
        <w:ind w:left="3880" w:hanging="281"/>
      </w:pPr>
      <w:rPr>
        <w:rFonts w:hint="default"/>
        <w:lang w:val="en-US" w:eastAsia="en-US" w:bidi="ar-SA"/>
      </w:rPr>
    </w:lvl>
    <w:lvl w:ilvl="4" w:tplc="FFFFFFFF">
      <w:numFmt w:val="bullet"/>
      <w:lvlText w:val="•"/>
      <w:lvlJc w:val="left"/>
      <w:pPr>
        <w:ind w:left="4920" w:hanging="281"/>
      </w:pPr>
      <w:rPr>
        <w:rFonts w:hint="default"/>
        <w:lang w:val="en-US" w:eastAsia="en-US" w:bidi="ar-SA"/>
      </w:rPr>
    </w:lvl>
    <w:lvl w:ilvl="5" w:tplc="FFFFFFFF">
      <w:numFmt w:val="bullet"/>
      <w:lvlText w:val="•"/>
      <w:lvlJc w:val="left"/>
      <w:pPr>
        <w:ind w:left="5960" w:hanging="281"/>
      </w:pPr>
      <w:rPr>
        <w:rFonts w:hint="default"/>
        <w:lang w:val="en-US" w:eastAsia="en-US" w:bidi="ar-SA"/>
      </w:rPr>
    </w:lvl>
    <w:lvl w:ilvl="6" w:tplc="FFFFFFFF">
      <w:numFmt w:val="bullet"/>
      <w:lvlText w:val="•"/>
      <w:lvlJc w:val="left"/>
      <w:pPr>
        <w:ind w:left="7000" w:hanging="281"/>
      </w:pPr>
      <w:rPr>
        <w:rFonts w:hint="default"/>
        <w:lang w:val="en-US" w:eastAsia="en-US" w:bidi="ar-SA"/>
      </w:rPr>
    </w:lvl>
    <w:lvl w:ilvl="7" w:tplc="FFFFFFFF">
      <w:numFmt w:val="bullet"/>
      <w:lvlText w:val="•"/>
      <w:lvlJc w:val="left"/>
      <w:pPr>
        <w:ind w:left="8040" w:hanging="281"/>
      </w:pPr>
      <w:rPr>
        <w:rFonts w:hint="default"/>
        <w:lang w:val="en-US" w:eastAsia="en-US" w:bidi="ar-SA"/>
      </w:rPr>
    </w:lvl>
    <w:lvl w:ilvl="8" w:tplc="FFFFFFFF">
      <w:numFmt w:val="bullet"/>
      <w:lvlText w:val="•"/>
      <w:lvlJc w:val="left"/>
      <w:pPr>
        <w:ind w:left="9080" w:hanging="281"/>
      </w:pPr>
      <w:rPr>
        <w:rFonts w:hint="default"/>
        <w:lang w:val="en-US" w:eastAsia="en-US" w:bidi="ar-SA"/>
      </w:rPr>
    </w:lvl>
  </w:abstractNum>
  <w:abstractNum w:abstractNumId="3" w15:restartNumberingAfterBreak="0">
    <w:nsid w:val="29C5199B"/>
    <w:multiLevelType w:val="hybridMultilevel"/>
    <w:tmpl w:val="10087282"/>
    <w:lvl w:ilvl="0" w:tplc="04090005">
      <w:start w:val="1"/>
      <w:numFmt w:val="bullet"/>
      <w:lvlText w:val=""/>
      <w:lvlJc w:val="left"/>
      <w:pPr>
        <w:ind w:left="768" w:hanging="281"/>
      </w:pPr>
      <w:rPr>
        <w:rFonts w:ascii="Wingdings" w:hAnsi="Wingdings" w:hint="default"/>
        <w:b w:val="0"/>
        <w:bCs w:val="0"/>
        <w:i w:val="0"/>
        <w:iCs w:val="0"/>
        <w:color w:val="2D2D2D"/>
        <w:spacing w:val="0"/>
        <w:w w:val="93"/>
        <w:sz w:val="20"/>
        <w:szCs w:val="20"/>
        <w:lang w:val="en-US" w:eastAsia="en-US" w:bidi="ar-SA"/>
      </w:rPr>
    </w:lvl>
    <w:lvl w:ilvl="1" w:tplc="FFFFFFFF">
      <w:numFmt w:val="bullet"/>
      <w:lvlText w:val="•"/>
      <w:lvlJc w:val="left"/>
      <w:pPr>
        <w:ind w:left="1800" w:hanging="281"/>
      </w:pPr>
      <w:rPr>
        <w:rFonts w:hint="default"/>
        <w:lang w:val="en-US" w:eastAsia="en-US" w:bidi="ar-SA"/>
      </w:rPr>
    </w:lvl>
    <w:lvl w:ilvl="2" w:tplc="FFFFFFFF">
      <w:numFmt w:val="bullet"/>
      <w:lvlText w:val="•"/>
      <w:lvlJc w:val="left"/>
      <w:pPr>
        <w:ind w:left="2840" w:hanging="281"/>
      </w:pPr>
      <w:rPr>
        <w:rFonts w:hint="default"/>
        <w:lang w:val="en-US" w:eastAsia="en-US" w:bidi="ar-SA"/>
      </w:rPr>
    </w:lvl>
    <w:lvl w:ilvl="3" w:tplc="FFFFFFFF">
      <w:numFmt w:val="bullet"/>
      <w:lvlText w:val="•"/>
      <w:lvlJc w:val="left"/>
      <w:pPr>
        <w:ind w:left="3880" w:hanging="281"/>
      </w:pPr>
      <w:rPr>
        <w:rFonts w:hint="default"/>
        <w:lang w:val="en-US" w:eastAsia="en-US" w:bidi="ar-SA"/>
      </w:rPr>
    </w:lvl>
    <w:lvl w:ilvl="4" w:tplc="FFFFFFFF">
      <w:numFmt w:val="bullet"/>
      <w:lvlText w:val="•"/>
      <w:lvlJc w:val="left"/>
      <w:pPr>
        <w:ind w:left="4920" w:hanging="281"/>
      </w:pPr>
      <w:rPr>
        <w:rFonts w:hint="default"/>
        <w:lang w:val="en-US" w:eastAsia="en-US" w:bidi="ar-SA"/>
      </w:rPr>
    </w:lvl>
    <w:lvl w:ilvl="5" w:tplc="FFFFFFFF">
      <w:numFmt w:val="bullet"/>
      <w:lvlText w:val="•"/>
      <w:lvlJc w:val="left"/>
      <w:pPr>
        <w:ind w:left="5960" w:hanging="281"/>
      </w:pPr>
      <w:rPr>
        <w:rFonts w:hint="default"/>
        <w:lang w:val="en-US" w:eastAsia="en-US" w:bidi="ar-SA"/>
      </w:rPr>
    </w:lvl>
    <w:lvl w:ilvl="6" w:tplc="FFFFFFFF">
      <w:numFmt w:val="bullet"/>
      <w:lvlText w:val="•"/>
      <w:lvlJc w:val="left"/>
      <w:pPr>
        <w:ind w:left="7000" w:hanging="281"/>
      </w:pPr>
      <w:rPr>
        <w:rFonts w:hint="default"/>
        <w:lang w:val="en-US" w:eastAsia="en-US" w:bidi="ar-SA"/>
      </w:rPr>
    </w:lvl>
    <w:lvl w:ilvl="7" w:tplc="FFFFFFFF">
      <w:numFmt w:val="bullet"/>
      <w:lvlText w:val="•"/>
      <w:lvlJc w:val="left"/>
      <w:pPr>
        <w:ind w:left="8040" w:hanging="281"/>
      </w:pPr>
      <w:rPr>
        <w:rFonts w:hint="default"/>
        <w:lang w:val="en-US" w:eastAsia="en-US" w:bidi="ar-SA"/>
      </w:rPr>
    </w:lvl>
    <w:lvl w:ilvl="8" w:tplc="FFFFFFFF">
      <w:numFmt w:val="bullet"/>
      <w:lvlText w:val="•"/>
      <w:lvlJc w:val="left"/>
      <w:pPr>
        <w:ind w:left="9080" w:hanging="281"/>
      </w:pPr>
      <w:rPr>
        <w:rFonts w:hint="default"/>
        <w:lang w:val="en-US" w:eastAsia="en-US" w:bidi="ar-SA"/>
      </w:rPr>
    </w:lvl>
  </w:abstractNum>
  <w:abstractNum w:abstractNumId="4" w15:restartNumberingAfterBreak="0">
    <w:nsid w:val="29D33266"/>
    <w:multiLevelType w:val="hybridMultilevel"/>
    <w:tmpl w:val="4FD0301A"/>
    <w:lvl w:ilvl="0" w:tplc="04090005">
      <w:start w:val="1"/>
      <w:numFmt w:val="bullet"/>
      <w:lvlText w:val=""/>
      <w:lvlJc w:val="left"/>
      <w:pPr>
        <w:ind w:left="768" w:hanging="281"/>
      </w:pPr>
      <w:rPr>
        <w:rFonts w:ascii="Wingdings" w:hAnsi="Wingdings" w:hint="default"/>
        <w:b w:val="0"/>
        <w:bCs w:val="0"/>
        <w:i w:val="0"/>
        <w:iCs w:val="0"/>
        <w:color w:val="2D2D2D"/>
        <w:spacing w:val="0"/>
        <w:w w:val="93"/>
        <w:sz w:val="20"/>
        <w:szCs w:val="20"/>
        <w:lang w:val="en-US" w:eastAsia="en-US" w:bidi="ar-SA"/>
      </w:rPr>
    </w:lvl>
    <w:lvl w:ilvl="1" w:tplc="FFFFFFFF">
      <w:numFmt w:val="bullet"/>
      <w:lvlText w:val="•"/>
      <w:lvlJc w:val="left"/>
      <w:pPr>
        <w:ind w:left="1800" w:hanging="281"/>
      </w:pPr>
      <w:rPr>
        <w:rFonts w:hint="default"/>
        <w:lang w:val="en-US" w:eastAsia="en-US" w:bidi="ar-SA"/>
      </w:rPr>
    </w:lvl>
    <w:lvl w:ilvl="2" w:tplc="FFFFFFFF">
      <w:numFmt w:val="bullet"/>
      <w:lvlText w:val="•"/>
      <w:lvlJc w:val="left"/>
      <w:pPr>
        <w:ind w:left="2840" w:hanging="281"/>
      </w:pPr>
      <w:rPr>
        <w:rFonts w:hint="default"/>
        <w:lang w:val="en-US" w:eastAsia="en-US" w:bidi="ar-SA"/>
      </w:rPr>
    </w:lvl>
    <w:lvl w:ilvl="3" w:tplc="FFFFFFFF">
      <w:numFmt w:val="bullet"/>
      <w:lvlText w:val="•"/>
      <w:lvlJc w:val="left"/>
      <w:pPr>
        <w:ind w:left="3880" w:hanging="281"/>
      </w:pPr>
      <w:rPr>
        <w:rFonts w:hint="default"/>
        <w:lang w:val="en-US" w:eastAsia="en-US" w:bidi="ar-SA"/>
      </w:rPr>
    </w:lvl>
    <w:lvl w:ilvl="4" w:tplc="FFFFFFFF">
      <w:numFmt w:val="bullet"/>
      <w:lvlText w:val="•"/>
      <w:lvlJc w:val="left"/>
      <w:pPr>
        <w:ind w:left="4920" w:hanging="281"/>
      </w:pPr>
      <w:rPr>
        <w:rFonts w:hint="default"/>
        <w:lang w:val="en-US" w:eastAsia="en-US" w:bidi="ar-SA"/>
      </w:rPr>
    </w:lvl>
    <w:lvl w:ilvl="5" w:tplc="FFFFFFFF">
      <w:numFmt w:val="bullet"/>
      <w:lvlText w:val="•"/>
      <w:lvlJc w:val="left"/>
      <w:pPr>
        <w:ind w:left="5960" w:hanging="281"/>
      </w:pPr>
      <w:rPr>
        <w:rFonts w:hint="default"/>
        <w:lang w:val="en-US" w:eastAsia="en-US" w:bidi="ar-SA"/>
      </w:rPr>
    </w:lvl>
    <w:lvl w:ilvl="6" w:tplc="FFFFFFFF">
      <w:numFmt w:val="bullet"/>
      <w:lvlText w:val="•"/>
      <w:lvlJc w:val="left"/>
      <w:pPr>
        <w:ind w:left="7000" w:hanging="281"/>
      </w:pPr>
      <w:rPr>
        <w:rFonts w:hint="default"/>
        <w:lang w:val="en-US" w:eastAsia="en-US" w:bidi="ar-SA"/>
      </w:rPr>
    </w:lvl>
    <w:lvl w:ilvl="7" w:tplc="FFFFFFFF">
      <w:numFmt w:val="bullet"/>
      <w:lvlText w:val="•"/>
      <w:lvlJc w:val="left"/>
      <w:pPr>
        <w:ind w:left="8040" w:hanging="281"/>
      </w:pPr>
      <w:rPr>
        <w:rFonts w:hint="default"/>
        <w:lang w:val="en-US" w:eastAsia="en-US" w:bidi="ar-SA"/>
      </w:rPr>
    </w:lvl>
    <w:lvl w:ilvl="8" w:tplc="FFFFFFFF">
      <w:numFmt w:val="bullet"/>
      <w:lvlText w:val="•"/>
      <w:lvlJc w:val="left"/>
      <w:pPr>
        <w:ind w:left="9080" w:hanging="281"/>
      </w:pPr>
      <w:rPr>
        <w:rFonts w:hint="default"/>
        <w:lang w:val="en-US" w:eastAsia="en-US" w:bidi="ar-SA"/>
      </w:rPr>
    </w:lvl>
  </w:abstractNum>
  <w:abstractNum w:abstractNumId="5" w15:restartNumberingAfterBreak="0">
    <w:nsid w:val="52943C90"/>
    <w:multiLevelType w:val="hybridMultilevel"/>
    <w:tmpl w:val="3BD81E92"/>
    <w:lvl w:ilvl="0" w:tplc="04090005">
      <w:start w:val="1"/>
      <w:numFmt w:val="bullet"/>
      <w:lvlText w:val=""/>
      <w:lvlJc w:val="left"/>
      <w:pPr>
        <w:ind w:left="1255" w:hanging="281"/>
      </w:pPr>
      <w:rPr>
        <w:rFonts w:ascii="Wingdings" w:hAnsi="Wingdings" w:hint="default"/>
        <w:b w:val="0"/>
        <w:bCs w:val="0"/>
        <w:i w:val="0"/>
        <w:iCs w:val="0"/>
        <w:color w:val="2D2D2D"/>
        <w:spacing w:val="0"/>
        <w:w w:val="93"/>
        <w:sz w:val="20"/>
        <w:szCs w:val="20"/>
        <w:lang w:val="en-US" w:eastAsia="en-US" w:bidi="ar-SA"/>
      </w:rPr>
    </w:lvl>
    <w:lvl w:ilvl="1" w:tplc="FFFFFFFF" w:tentative="1">
      <w:start w:val="1"/>
      <w:numFmt w:val="bullet"/>
      <w:lvlText w:val="o"/>
      <w:lvlJc w:val="left"/>
      <w:pPr>
        <w:ind w:left="1927" w:hanging="360"/>
      </w:pPr>
      <w:rPr>
        <w:rFonts w:ascii="Courier New" w:hAnsi="Courier New" w:cs="Courier New" w:hint="default"/>
      </w:rPr>
    </w:lvl>
    <w:lvl w:ilvl="2" w:tplc="FFFFFFFF" w:tentative="1">
      <w:start w:val="1"/>
      <w:numFmt w:val="bullet"/>
      <w:lvlText w:val=""/>
      <w:lvlJc w:val="left"/>
      <w:pPr>
        <w:ind w:left="2647" w:hanging="360"/>
      </w:pPr>
      <w:rPr>
        <w:rFonts w:ascii="Wingdings" w:hAnsi="Wingdings" w:hint="default"/>
      </w:rPr>
    </w:lvl>
    <w:lvl w:ilvl="3" w:tplc="FFFFFFFF" w:tentative="1">
      <w:start w:val="1"/>
      <w:numFmt w:val="bullet"/>
      <w:lvlText w:val=""/>
      <w:lvlJc w:val="left"/>
      <w:pPr>
        <w:ind w:left="3367" w:hanging="360"/>
      </w:pPr>
      <w:rPr>
        <w:rFonts w:ascii="Symbol" w:hAnsi="Symbol" w:hint="default"/>
      </w:rPr>
    </w:lvl>
    <w:lvl w:ilvl="4" w:tplc="FFFFFFFF" w:tentative="1">
      <w:start w:val="1"/>
      <w:numFmt w:val="bullet"/>
      <w:lvlText w:val="o"/>
      <w:lvlJc w:val="left"/>
      <w:pPr>
        <w:ind w:left="4087" w:hanging="360"/>
      </w:pPr>
      <w:rPr>
        <w:rFonts w:ascii="Courier New" w:hAnsi="Courier New" w:cs="Courier New" w:hint="default"/>
      </w:rPr>
    </w:lvl>
    <w:lvl w:ilvl="5" w:tplc="FFFFFFFF" w:tentative="1">
      <w:start w:val="1"/>
      <w:numFmt w:val="bullet"/>
      <w:lvlText w:val=""/>
      <w:lvlJc w:val="left"/>
      <w:pPr>
        <w:ind w:left="4807" w:hanging="360"/>
      </w:pPr>
      <w:rPr>
        <w:rFonts w:ascii="Wingdings" w:hAnsi="Wingdings" w:hint="default"/>
      </w:rPr>
    </w:lvl>
    <w:lvl w:ilvl="6" w:tplc="FFFFFFFF" w:tentative="1">
      <w:start w:val="1"/>
      <w:numFmt w:val="bullet"/>
      <w:lvlText w:val=""/>
      <w:lvlJc w:val="left"/>
      <w:pPr>
        <w:ind w:left="5527" w:hanging="360"/>
      </w:pPr>
      <w:rPr>
        <w:rFonts w:ascii="Symbol" w:hAnsi="Symbol" w:hint="default"/>
      </w:rPr>
    </w:lvl>
    <w:lvl w:ilvl="7" w:tplc="FFFFFFFF" w:tentative="1">
      <w:start w:val="1"/>
      <w:numFmt w:val="bullet"/>
      <w:lvlText w:val="o"/>
      <w:lvlJc w:val="left"/>
      <w:pPr>
        <w:ind w:left="6247" w:hanging="360"/>
      </w:pPr>
      <w:rPr>
        <w:rFonts w:ascii="Courier New" w:hAnsi="Courier New" w:cs="Courier New" w:hint="default"/>
      </w:rPr>
    </w:lvl>
    <w:lvl w:ilvl="8" w:tplc="FFFFFFFF" w:tentative="1">
      <w:start w:val="1"/>
      <w:numFmt w:val="bullet"/>
      <w:lvlText w:val=""/>
      <w:lvlJc w:val="left"/>
      <w:pPr>
        <w:ind w:left="6967" w:hanging="360"/>
      </w:pPr>
      <w:rPr>
        <w:rFonts w:ascii="Wingdings" w:hAnsi="Wingdings" w:hint="default"/>
      </w:rPr>
    </w:lvl>
  </w:abstractNum>
  <w:abstractNum w:abstractNumId="6" w15:restartNumberingAfterBreak="0">
    <w:nsid w:val="5A3B4FBE"/>
    <w:multiLevelType w:val="hybridMultilevel"/>
    <w:tmpl w:val="00EE18D8"/>
    <w:lvl w:ilvl="0" w:tplc="27A2BD1E">
      <w:numFmt w:val="bullet"/>
      <w:lvlText w:val="•"/>
      <w:lvlJc w:val="left"/>
      <w:pPr>
        <w:ind w:left="1255" w:hanging="281"/>
      </w:pPr>
      <w:rPr>
        <w:rFonts w:ascii="Calibri" w:eastAsia="Calibri" w:hAnsi="Calibri" w:cs="Calibri" w:hint="default"/>
        <w:b w:val="0"/>
        <w:bCs w:val="0"/>
        <w:i w:val="0"/>
        <w:iCs w:val="0"/>
        <w:color w:val="2D2D2D"/>
        <w:spacing w:val="0"/>
        <w:w w:val="93"/>
        <w:sz w:val="20"/>
        <w:szCs w:val="20"/>
        <w:lang w:val="en-US" w:eastAsia="en-US" w:bidi="ar-SA"/>
      </w:rPr>
    </w:lvl>
    <w:lvl w:ilvl="1" w:tplc="04090003" w:tentative="1">
      <w:start w:val="1"/>
      <w:numFmt w:val="bullet"/>
      <w:lvlText w:val="o"/>
      <w:lvlJc w:val="left"/>
      <w:pPr>
        <w:ind w:left="1927" w:hanging="360"/>
      </w:pPr>
      <w:rPr>
        <w:rFonts w:ascii="Courier New" w:hAnsi="Courier New" w:cs="Courier New" w:hint="default"/>
      </w:rPr>
    </w:lvl>
    <w:lvl w:ilvl="2" w:tplc="04090005" w:tentative="1">
      <w:start w:val="1"/>
      <w:numFmt w:val="bullet"/>
      <w:lvlText w:val=""/>
      <w:lvlJc w:val="left"/>
      <w:pPr>
        <w:ind w:left="2647" w:hanging="360"/>
      </w:pPr>
      <w:rPr>
        <w:rFonts w:ascii="Wingdings" w:hAnsi="Wingdings" w:hint="default"/>
      </w:rPr>
    </w:lvl>
    <w:lvl w:ilvl="3" w:tplc="04090001" w:tentative="1">
      <w:start w:val="1"/>
      <w:numFmt w:val="bullet"/>
      <w:lvlText w:val=""/>
      <w:lvlJc w:val="left"/>
      <w:pPr>
        <w:ind w:left="3367" w:hanging="360"/>
      </w:pPr>
      <w:rPr>
        <w:rFonts w:ascii="Symbol" w:hAnsi="Symbol" w:hint="default"/>
      </w:rPr>
    </w:lvl>
    <w:lvl w:ilvl="4" w:tplc="04090003" w:tentative="1">
      <w:start w:val="1"/>
      <w:numFmt w:val="bullet"/>
      <w:lvlText w:val="o"/>
      <w:lvlJc w:val="left"/>
      <w:pPr>
        <w:ind w:left="4087" w:hanging="360"/>
      </w:pPr>
      <w:rPr>
        <w:rFonts w:ascii="Courier New" w:hAnsi="Courier New" w:cs="Courier New" w:hint="default"/>
      </w:rPr>
    </w:lvl>
    <w:lvl w:ilvl="5" w:tplc="04090005" w:tentative="1">
      <w:start w:val="1"/>
      <w:numFmt w:val="bullet"/>
      <w:lvlText w:val=""/>
      <w:lvlJc w:val="left"/>
      <w:pPr>
        <w:ind w:left="4807" w:hanging="360"/>
      </w:pPr>
      <w:rPr>
        <w:rFonts w:ascii="Wingdings" w:hAnsi="Wingdings" w:hint="default"/>
      </w:rPr>
    </w:lvl>
    <w:lvl w:ilvl="6" w:tplc="04090001" w:tentative="1">
      <w:start w:val="1"/>
      <w:numFmt w:val="bullet"/>
      <w:lvlText w:val=""/>
      <w:lvlJc w:val="left"/>
      <w:pPr>
        <w:ind w:left="5527" w:hanging="360"/>
      </w:pPr>
      <w:rPr>
        <w:rFonts w:ascii="Symbol" w:hAnsi="Symbol" w:hint="default"/>
      </w:rPr>
    </w:lvl>
    <w:lvl w:ilvl="7" w:tplc="04090003" w:tentative="1">
      <w:start w:val="1"/>
      <w:numFmt w:val="bullet"/>
      <w:lvlText w:val="o"/>
      <w:lvlJc w:val="left"/>
      <w:pPr>
        <w:ind w:left="6247" w:hanging="360"/>
      </w:pPr>
      <w:rPr>
        <w:rFonts w:ascii="Courier New" w:hAnsi="Courier New" w:cs="Courier New" w:hint="default"/>
      </w:rPr>
    </w:lvl>
    <w:lvl w:ilvl="8" w:tplc="04090005" w:tentative="1">
      <w:start w:val="1"/>
      <w:numFmt w:val="bullet"/>
      <w:lvlText w:val=""/>
      <w:lvlJc w:val="left"/>
      <w:pPr>
        <w:ind w:left="6967" w:hanging="360"/>
      </w:pPr>
      <w:rPr>
        <w:rFonts w:ascii="Wingdings" w:hAnsi="Wingdings" w:hint="default"/>
      </w:rPr>
    </w:lvl>
  </w:abstractNum>
  <w:abstractNum w:abstractNumId="7" w15:restartNumberingAfterBreak="0">
    <w:nsid w:val="7C4528FA"/>
    <w:multiLevelType w:val="hybridMultilevel"/>
    <w:tmpl w:val="302699E2"/>
    <w:lvl w:ilvl="0" w:tplc="27A2BD1E">
      <w:numFmt w:val="bullet"/>
      <w:lvlText w:val="•"/>
      <w:lvlJc w:val="left"/>
      <w:pPr>
        <w:ind w:left="768" w:hanging="281"/>
      </w:pPr>
      <w:rPr>
        <w:rFonts w:ascii="Calibri" w:eastAsia="Calibri" w:hAnsi="Calibri" w:cs="Calibri" w:hint="default"/>
        <w:b w:val="0"/>
        <w:bCs w:val="0"/>
        <w:i w:val="0"/>
        <w:iCs w:val="0"/>
        <w:color w:val="2D2D2D"/>
        <w:spacing w:val="0"/>
        <w:w w:val="93"/>
        <w:sz w:val="20"/>
        <w:szCs w:val="20"/>
        <w:lang w:val="en-US" w:eastAsia="en-US" w:bidi="ar-SA"/>
      </w:rPr>
    </w:lvl>
    <w:lvl w:ilvl="1" w:tplc="B510C140">
      <w:numFmt w:val="bullet"/>
      <w:lvlText w:val="•"/>
      <w:lvlJc w:val="left"/>
      <w:pPr>
        <w:ind w:left="1800" w:hanging="281"/>
      </w:pPr>
      <w:rPr>
        <w:rFonts w:hint="default"/>
        <w:lang w:val="en-US" w:eastAsia="en-US" w:bidi="ar-SA"/>
      </w:rPr>
    </w:lvl>
    <w:lvl w:ilvl="2" w:tplc="52FCE456">
      <w:numFmt w:val="bullet"/>
      <w:lvlText w:val="•"/>
      <w:lvlJc w:val="left"/>
      <w:pPr>
        <w:ind w:left="2840" w:hanging="281"/>
      </w:pPr>
      <w:rPr>
        <w:rFonts w:hint="default"/>
        <w:lang w:val="en-US" w:eastAsia="en-US" w:bidi="ar-SA"/>
      </w:rPr>
    </w:lvl>
    <w:lvl w:ilvl="3" w:tplc="7CF8A152">
      <w:numFmt w:val="bullet"/>
      <w:lvlText w:val="•"/>
      <w:lvlJc w:val="left"/>
      <w:pPr>
        <w:ind w:left="3880" w:hanging="281"/>
      </w:pPr>
      <w:rPr>
        <w:rFonts w:hint="default"/>
        <w:lang w:val="en-US" w:eastAsia="en-US" w:bidi="ar-SA"/>
      </w:rPr>
    </w:lvl>
    <w:lvl w:ilvl="4" w:tplc="342286FC">
      <w:numFmt w:val="bullet"/>
      <w:lvlText w:val="•"/>
      <w:lvlJc w:val="left"/>
      <w:pPr>
        <w:ind w:left="4920" w:hanging="281"/>
      </w:pPr>
      <w:rPr>
        <w:rFonts w:hint="default"/>
        <w:lang w:val="en-US" w:eastAsia="en-US" w:bidi="ar-SA"/>
      </w:rPr>
    </w:lvl>
    <w:lvl w:ilvl="5" w:tplc="0D2C9ED8">
      <w:numFmt w:val="bullet"/>
      <w:lvlText w:val="•"/>
      <w:lvlJc w:val="left"/>
      <w:pPr>
        <w:ind w:left="5960" w:hanging="281"/>
      </w:pPr>
      <w:rPr>
        <w:rFonts w:hint="default"/>
        <w:lang w:val="en-US" w:eastAsia="en-US" w:bidi="ar-SA"/>
      </w:rPr>
    </w:lvl>
    <w:lvl w:ilvl="6" w:tplc="2BFE1EDC">
      <w:numFmt w:val="bullet"/>
      <w:lvlText w:val="•"/>
      <w:lvlJc w:val="left"/>
      <w:pPr>
        <w:ind w:left="7000" w:hanging="281"/>
      </w:pPr>
      <w:rPr>
        <w:rFonts w:hint="default"/>
        <w:lang w:val="en-US" w:eastAsia="en-US" w:bidi="ar-SA"/>
      </w:rPr>
    </w:lvl>
    <w:lvl w:ilvl="7" w:tplc="2AE88724">
      <w:numFmt w:val="bullet"/>
      <w:lvlText w:val="•"/>
      <w:lvlJc w:val="left"/>
      <w:pPr>
        <w:ind w:left="8040" w:hanging="281"/>
      </w:pPr>
      <w:rPr>
        <w:rFonts w:hint="default"/>
        <w:lang w:val="en-US" w:eastAsia="en-US" w:bidi="ar-SA"/>
      </w:rPr>
    </w:lvl>
    <w:lvl w:ilvl="8" w:tplc="E898BDBA">
      <w:numFmt w:val="bullet"/>
      <w:lvlText w:val="•"/>
      <w:lvlJc w:val="left"/>
      <w:pPr>
        <w:ind w:left="9080" w:hanging="281"/>
      </w:pPr>
      <w:rPr>
        <w:rFonts w:hint="default"/>
        <w:lang w:val="en-US" w:eastAsia="en-US" w:bidi="ar-SA"/>
      </w:rPr>
    </w:lvl>
  </w:abstractNum>
  <w:num w:numId="1" w16cid:durableId="672496371">
    <w:abstractNumId w:val="7"/>
  </w:num>
  <w:num w:numId="2" w16cid:durableId="1098521699">
    <w:abstractNumId w:val="0"/>
  </w:num>
  <w:num w:numId="3" w16cid:durableId="1206677561">
    <w:abstractNumId w:val="1"/>
  </w:num>
  <w:num w:numId="4" w16cid:durableId="567346954">
    <w:abstractNumId w:val="4"/>
  </w:num>
  <w:num w:numId="5" w16cid:durableId="377749823">
    <w:abstractNumId w:val="2"/>
  </w:num>
  <w:num w:numId="6" w16cid:durableId="1995260220">
    <w:abstractNumId w:val="6"/>
  </w:num>
  <w:num w:numId="7" w16cid:durableId="322902153">
    <w:abstractNumId w:val="3"/>
  </w:num>
  <w:num w:numId="8" w16cid:durableId="8675728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355"/>
    <w:rsid w:val="00000E40"/>
    <w:rsid w:val="00002AD6"/>
    <w:rsid w:val="0000461B"/>
    <w:rsid w:val="00006D97"/>
    <w:rsid w:val="0000774D"/>
    <w:rsid w:val="00011AA9"/>
    <w:rsid w:val="00014BEF"/>
    <w:rsid w:val="0002355B"/>
    <w:rsid w:val="000237F2"/>
    <w:rsid w:val="00025E71"/>
    <w:rsid w:val="00027AF9"/>
    <w:rsid w:val="0003066D"/>
    <w:rsid w:val="00030C83"/>
    <w:rsid w:val="0004575D"/>
    <w:rsid w:val="00046563"/>
    <w:rsid w:val="00053468"/>
    <w:rsid w:val="00054A63"/>
    <w:rsid w:val="000571FC"/>
    <w:rsid w:val="000571FF"/>
    <w:rsid w:val="0006213F"/>
    <w:rsid w:val="0006334B"/>
    <w:rsid w:val="00064F10"/>
    <w:rsid w:val="0006718B"/>
    <w:rsid w:val="00073984"/>
    <w:rsid w:val="00077BEE"/>
    <w:rsid w:val="000823C6"/>
    <w:rsid w:val="000837A9"/>
    <w:rsid w:val="00084AD9"/>
    <w:rsid w:val="00097B87"/>
    <w:rsid w:val="000A000E"/>
    <w:rsid w:val="000A7452"/>
    <w:rsid w:val="000A77F3"/>
    <w:rsid w:val="000B05D5"/>
    <w:rsid w:val="000B104E"/>
    <w:rsid w:val="000B2682"/>
    <w:rsid w:val="000B48C9"/>
    <w:rsid w:val="000B7CF9"/>
    <w:rsid w:val="000C0D64"/>
    <w:rsid w:val="000C3FE7"/>
    <w:rsid w:val="000C641F"/>
    <w:rsid w:val="000D253B"/>
    <w:rsid w:val="000D30E6"/>
    <w:rsid w:val="000D3738"/>
    <w:rsid w:val="000D4044"/>
    <w:rsid w:val="000D4479"/>
    <w:rsid w:val="000E020D"/>
    <w:rsid w:val="000E07CC"/>
    <w:rsid w:val="000E0A74"/>
    <w:rsid w:val="000E146D"/>
    <w:rsid w:val="000E4AD9"/>
    <w:rsid w:val="000E5473"/>
    <w:rsid w:val="000F007A"/>
    <w:rsid w:val="000F0915"/>
    <w:rsid w:val="000F1340"/>
    <w:rsid w:val="000F15C9"/>
    <w:rsid w:val="000F1D23"/>
    <w:rsid w:val="000F21B3"/>
    <w:rsid w:val="000F2942"/>
    <w:rsid w:val="000F3811"/>
    <w:rsid w:val="000F4361"/>
    <w:rsid w:val="000F463C"/>
    <w:rsid w:val="000F483D"/>
    <w:rsid w:val="000F74A4"/>
    <w:rsid w:val="001002D8"/>
    <w:rsid w:val="001010DA"/>
    <w:rsid w:val="00102A73"/>
    <w:rsid w:val="00105269"/>
    <w:rsid w:val="001111C4"/>
    <w:rsid w:val="00111E5B"/>
    <w:rsid w:val="00116DD0"/>
    <w:rsid w:val="001212A4"/>
    <w:rsid w:val="00122339"/>
    <w:rsid w:val="00124C60"/>
    <w:rsid w:val="0012737A"/>
    <w:rsid w:val="00127F88"/>
    <w:rsid w:val="00131238"/>
    <w:rsid w:val="0013199B"/>
    <w:rsid w:val="001332F3"/>
    <w:rsid w:val="001335A1"/>
    <w:rsid w:val="0013422E"/>
    <w:rsid w:val="001360A7"/>
    <w:rsid w:val="0013692B"/>
    <w:rsid w:val="00140C02"/>
    <w:rsid w:val="00154678"/>
    <w:rsid w:val="001602B5"/>
    <w:rsid w:val="00160FAA"/>
    <w:rsid w:val="0017159C"/>
    <w:rsid w:val="00176706"/>
    <w:rsid w:val="0018171B"/>
    <w:rsid w:val="001818DB"/>
    <w:rsid w:val="001876B7"/>
    <w:rsid w:val="0019218C"/>
    <w:rsid w:val="001927B5"/>
    <w:rsid w:val="0019420E"/>
    <w:rsid w:val="001952B1"/>
    <w:rsid w:val="001956FC"/>
    <w:rsid w:val="001A377D"/>
    <w:rsid w:val="001B4F0C"/>
    <w:rsid w:val="001B7886"/>
    <w:rsid w:val="001C1064"/>
    <w:rsid w:val="001C2FA7"/>
    <w:rsid w:val="001C64A7"/>
    <w:rsid w:val="001C67D7"/>
    <w:rsid w:val="001D4FAC"/>
    <w:rsid w:val="001D5056"/>
    <w:rsid w:val="001E007E"/>
    <w:rsid w:val="001E2F35"/>
    <w:rsid w:val="001E357D"/>
    <w:rsid w:val="001E4B2C"/>
    <w:rsid w:val="001E6EA1"/>
    <w:rsid w:val="001E6F7E"/>
    <w:rsid w:val="001F0053"/>
    <w:rsid w:val="001F3C1F"/>
    <w:rsid w:val="001F7AC6"/>
    <w:rsid w:val="00200147"/>
    <w:rsid w:val="002006CF"/>
    <w:rsid w:val="00202668"/>
    <w:rsid w:val="0020423C"/>
    <w:rsid w:val="00204A77"/>
    <w:rsid w:val="0021228A"/>
    <w:rsid w:val="002203DC"/>
    <w:rsid w:val="0022302C"/>
    <w:rsid w:val="00223325"/>
    <w:rsid w:val="00230A10"/>
    <w:rsid w:val="00230D90"/>
    <w:rsid w:val="002310D8"/>
    <w:rsid w:val="00231B5B"/>
    <w:rsid w:val="0023536C"/>
    <w:rsid w:val="00240D21"/>
    <w:rsid w:val="002452CA"/>
    <w:rsid w:val="00246664"/>
    <w:rsid w:val="00250423"/>
    <w:rsid w:val="00253441"/>
    <w:rsid w:val="002623A0"/>
    <w:rsid w:val="0026648B"/>
    <w:rsid w:val="0027051B"/>
    <w:rsid w:val="0027330F"/>
    <w:rsid w:val="00273BDA"/>
    <w:rsid w:val="002771F4"/>
    <w:rsid w:val="002856F2"/>
    <w:rsid w:val="00287740"/>
    <w:rsid w:val="0029294C"/>
    <w:rsid w:val="00293ADE"/>
    <w:rsid w:val="0029789B"/>
    <w:rsid w:val="002A019C"/>
    <w:rsid w:val="002A3D00"/>
    <w:rsid w:val="002A5F51"/>
    <w:rsid w:val="002B0321"/>
    <w:rsid w:val="002B2D92"/>
    <w:rsid w:val="002B7C6E"/>
    <w:rsid w:val="002B7DA0"/>
    <w:rsid w:val="002B7DAD"/>
    <w:rsid w:val="002C092A"/>
    <w:rsid w:val="002C160F"/>
    <w:rsid w:val="002C218C"/>
    <w:rsid w:val="002C45A0"/>
    <w:rsid w:val="002C77DF"/>
    <w:rsid w:val="002D1048"/>
    <w:rsid w:val="002D2659"/>
    <w:rsid w:val="002D2C91"/>
    <w:rsid w:val="002D2EBE"/>
    <w:rsid w:val="002D52E5"/>
    <w:rsid w:val="002D6EC1"/>
    <w:rsid w:val="002E1558"/>
    <w:rsid w:val="002E156F"/>
    <w:rsid w:val="002E1C50"/>
    <w:rsid w:val="002E218D"/>
    <w:rsid w:val="002E24FF"/>
    <w:rsid w:val="002E257C"/>
    <w:rsid w:val="002F4C82"/>
    <w:rsid w:val="002F5577"/>
    <w:rsid w:val="00303253"/>
    <w:rsid w:val="003033AE"/>
    <w:rsid w:val="00305CA1"/>
    <w:rsid w:val="00311D6B"/>
    <w:rsid w:val="00315220"/>
    <w:rsid w:val="00316C19"/>
    <w:rsid w:val="0032672A"/>
    <w:rsid w:val="00330270"/>
    <w:rsid w:val="00330980"/>
    <w:rsid w:val="00337EA7"/>
    <w:rsid w:val="00340E75"/>
    <w:rsid w:val="003415FE"/>
    <w:rsid w:val="00350296"/>
    <w:rsid w:val="00350729"/>
    <w:rsid w:val="00356BAE"/>
    <w:rsid w:val="003623BE"/>
    <w:rsid w:val="00363686"/>
    <w:rsid w:val="00364185"/>
    <w:rsid w:val="00364A63"/>
    <w:rsid w:val="00366832"/>
    <w:rsid w:val="00367ACC"/>
    <w:rsid w:val="003703AE"/>
    <w:rsid w:val="00370BB9"/>
    <w:rsid w:val="003755BD"/>
    <w:rsid w:val="00382CFA"/>
    <w:rsid w:val="00392F07"/>
    <w:rsid w:val="00393071"/>
    <w:rsid w:val="00393657"/>
    <w:rsid w:val="0039425A"/>
    <w:rsid w:val="00396D14"/>
    <w:rsid w:val="003972EF"/>
    <w:rsid w:val="00397B2E"/>
    <w:rsid w:val="003A1A18"/>
    <w:rsid w:val="003A4917"/>
    <w:rsid w:val="003A55C2"/>
    <w:rsid w:val="003A6076"/>
    <w:rsid w:val="003B0BDC"/>
    <w:rsid w:val="003B1D9D"/>
    <w:rsid w:val="003B7483"/>
    <w:rsid w:val="003B7755"/>
    <w:rsid w:val="003C1301"/>
    <w:rsid w:val="003C27A3"/>
    <w:rsid w:val="003C2E3F"/>
    <w:rsid w:val="003C521B"/>
    <w:rsid w:val="003C7412"/>
    <w:rsid w:val="003D5251"/>
    <w:rsid w:val="003D5694"/>
    <w:rsid w:val="003E3853"/>
    <w:rsid w:val="004010E1"/>
    <w:rsid w:val="00406B9E"/>
    <w:rsid w:val="004107F2"/>
    <w:rsid w:val="00410879"/>
    <w:rsid w:val="00411184"/>
    <w:rsid w:val="004125DF"/>
    <w:rsid w:val="00414A79"/>
    <w:rsid w:val="004163AE"/>
    <w:rsid w:val="00416480"/>
    <w:rsid w:val="00417EB5"/>
    <w:rsid w:val="00422119"/>
    <w:rsid w:val="00422C63"/>
    <w:rsid w:val="00425741"/>
    <w:rsid w:val="00426177"/>
    <w:rsid w:val="0042634A"/>
    <w:rsid w:val="00430CCA"/>
    <w:rsid w:val="004311BC"/>
    <w:rsid w:val="00434C94"/>
    <w:rsid w:val="0043589E"/>
    <w:rsid w:val="00437924"/>
    <w:rsid w:val="00440243"/>
    <w:rsid w:val="00440D3F"/>
    <w:rsid w:val="00440DAD"/>
    <w:rsid w:val="004461E9"/>
    <w:rsid w:val="00450381"/>
    <w:rsid w:val="0045328D"/>
    <w:rsid w:val="00457E9D"/>
    <w:rsid w:val="00460577"/>
    <w:rsid w:val="004609FC"/>
    <w:rsid w:val="004635F3"/>
    <w:rsid w:val="00465C1A"/>
    <w:rsid w:val="00465F8A"/>
    <w:rsid w:val="00470DE2"/>
    <w:rsid w:val="00473B3B"/>
    <w:rsid w:val="004747FE"/>
    <w:rsid w:val="0047508D"/>
    <w:rsid w:val="00477D59"/>
    <w:rsid w:val="00477EF8"/>
    <w:rsid w:val="00481FAB"/>
    <w:rsid w:val="00482D35"/>
    <w:rsid w:val="004867F3"/>
    <w:rsid w:val="00487B68"/>
    <w:rsid w:val="004908F6"/>
    <w:rsid w:val="004968AD"/>
    <w:rsid w:val="00497916"/>
    <w:rsid w:val="004A185A"/>
    <w:rsid w:val="004A1F92"/>
    <w:rsid w:val="004A57B1"/>
    <w:rsid w:val="004A57EA"/>
    <w:rsid w:val="004A6AA5"/>
    <w:rsid w:val="004A6F36"/>
    <w:rsid w:val="004B28CE"/>
    <w:rsid w:val="004B4588"/>
    <w:rsid w:val="004B5E15"/>
    <w:rsid w:val="004B5FEA"/>
    <w:rsid w:val="004B692C"/>
    <w:rsid w:val="004B7CC4"/>
    <w:rsid w:val="004C0FD1"/>
    <w:rsid w:val="004C5553"/>
    <w:rsid w:val="004D1579"/>
    <w:rsid w:val="004D1E0B"/>
    <w:rsid w:val="004D370B"/>
    <w:rsid w:val="004D44D9"/>
    <w:rsid w:val="004D52FF"/>
    <w:rsid w:val="004D5C07"/>
    <w:rsid w:val="004E1300"/>
    <w:rsid w:val="004E276F"/>
    <w:rsid w:val="004E3332"/>
    <w:rsid w:val="004E5EC8"/>
    <w:rsid w:val="004E71C1"/>
    <w:rsid w:val="004F2EBF"/>
    <w:rsid w:val="004F35C2"/>
    <w:rsid w:val="004F36B2"/>
    <w:rsid w:val="005012F0"/>
    <w:rsid w:val="00504C6B"/>
    <w:rsid w:val="0051291E"/>
    <w:rsid w:val="00513200"/>
    <w:rsid w:val="005155A4"/>
    <w:rsid w:val="005239CF"/>
    <w:rsid w:val="00523A67"/>
    <w:rsid w:val="00524C2E"/>
    <w:rsid w:val="00525A3D"/>
    <w:rsid w:val="00527579"/>
    <w:rsid w:val="00531314"/>
    <w:rsid w:val="00533162"/>
    <w:rsid w:val="00534786"/>
    <w:rsid w:val="00534B3A"/>
    <w:rsid w:val="00535C27"/>
    <w:rsid w:val="00537284"/>
    <w:rsid w:val="005418FF"/>
    <w:rsid w:val="00542747"/>
    <w:rsid w:val="00542EE8"/>
    <w:rsid w:val="0054455D"/>
    <w:rsid w:val="00547167"/>
    <w:rsid w:val="005471F5"/>
    <w:rsid w:val="00550192"/>
    <w:rsid w:val="0055555F"/>
    <w:rsid w:val="005578CE"/>
    <w:rsid w:val="00561029"/>
    <w:rsid w:val="00562790"/>
    <w:rsid w:val="00566B1C"/>
    <w:rsid w:val="00570169"/>
    <w:rsid w:val="00575022"/>
    <w:rsid w:val="005776C8"/>
    <w:rsid w:val="00581C46"/>
    <w:rsid w:val="00581F25"/>
    <w:rsid w:val="00587475"/>
    <w:rsid w:val="005908FB"/>
    <w:rsid w:val="00591522"/>
    <w:rsid w:val="00592D06"/>
    <w:rsid w:val="005A10AA"/>
    <w:rsid w:val="005A1365"/>
    <w:rsid w:val="005A299D"/>
    <w:rsid w:val="005A2A85"/>
    <w:rsid w:val="005A58F5"/>
    <w:rsid w:val="005A7098"/>
    <w:rsid w:val="005A7ED0"/>
    <w:rsid w:val="005B03CF"/>
    <w:rsid w:val="005B08F0"/>
    <w:rsid w:val="005B14BA"/>
    <w:rsid w:val="005B22F0"/>
    <w:rsid w:val="005B2D6A"/>
    <w:rsid w:val="005C5EA7"/>
    <w:rsid w:val="005C6899"/>
    <w:rsid w:val="005C7C2A"/>
    <w:rsid w:val="005C7E4F"/>
    <w:rsid w:val="005D0991"/>
    <w:rsid w:val="005D229B"/>
    <w:rsid w:val="005D25A3"/>
    <w:rsid w:val="005D2D73"/>
    <w:rsid w:val="005D3BB2"/>
    <w:rsid w:val="005D3C6D"/>
    <w:rsid w:val="005D6383"/>
    <w:rsid w:val="005E48ED"/>
    <w:rsid w:val="005E7C01"/>
    <w:rsid w:val="005F0F8B"/>
    <w:rsid w:val="005F22E5"/>
    <w:rsid w:val="005F2F4F"/>
    <w:rsid w:val="005F3396"/>
    <w:rsid w:val="005F512B"/>
    <w:rsid w:val="00602E0B"/>
    <w:rsid w:val="00604670"/>
    <w:rsid w:val="0060561B"/>
    <w:rsid w:val="00612C13"/>
    <w:rsid w:val="0061397B"/>
    <w:rsid w:val="00613AF3"/>
    <w:rsid w:val="00614FAA"/>
    <w:rsid w:val="00616576"/>
    <w:rsid w:val="00616677"/>
    <w:rsid w:val="00616696"/>
    <w:rsid w:val="006235B4"/>
    <w:rsid w:val="0062398D"/>
    <w:rsid w:val="0062466C"/>
    <w:rsid w:val="006264A3"/>
    <w:rsid w:val="00626A48"/>
    <w:rsid w:val="00626D68"/>
    <w:rsid w:val="006312C8"/>
    <w:rsid w:val="00635CE2"/>
    <w:rsid w:val="0063786E"/>
    <w:rsid w:val="00637C90"/>
    <w:rsid w:val="0064077E"/>
    <w:rsid w:val="00640830"/>
    <w:rsid w:val="00641923"/>
    <w:rsid w:val="006421F4"/>
    <w:rsid w:val="00642B46"/>
    <w:rsid w:val="006439CB"/>
    <w:rsid w:val="006467A7"/>
    <w:rsid w:val="00647EC5"/>
    <w:rsid w:val="00654289"/>
    <w:rsid w:val="00655ADA"/>
    <w:rsid w:val="00661F91"/>
    <w:rsid w:val="006641B1"/>
    <w:rsid w:val="00670CFA"/>
    <w:rsid w:val="006721B2"/>
    <w:rsid w:val="0067224B"/>
    <w:rsid w:val="00672A33"/>
    <w:rsid w:val="00674FA5"/>
    <w:rsid w:val="006827DA"/>
    <w:rsid w:val="00682E5A"/>
    <w:rsid w:val="00684554"/>
    <w:rsid w:val="006866A2"/>
    <w:rsid w:val="006911C8"/>
    <w:rsid w:val="0069247D"/>
    <w:rsid w:val="00694725"/>
    <w:rsid w:val="0069577F"/>
    <w:rsid w:val="006969B1"/>
    <w:rsid w:val="006978EF"/>
    <w:rsid w:val="006A0AE7"/>
    <w:rsid w:val="006A0C46"/>
    <w:rsid w:val="006A2B8D"/>
    <w:rsid w:val="006A4C42"/>
    <w:rsid w:val="006A4D4F"/>
    <w:rsid w:val="006A67F4"/>
    <w:rsid w:val="006B1971"/>
    <w:rsid w:val="006B4994"/>
    <w:rsid w:val="006B570C"/>
    <w:rsid w:val="006B63B6"/>
    <w:rsid w:val="006B64CE"/>
    <w:rsid w:val="006B64D7"/>
    <w:rsid w:val="006B7657"/>
    <w:rsid w:val="006C2A71"/>
    <w:rsid w:val="006C5E4F"/>
    <w:rsid w:val="006C7291"/>
    <w:rsid w:val="006D0975"/>
    <w:rsid w:val="006D227F"/>
    <w:rsid w:val="006D238D"/>
    <w:rsid w:val="006D2646"/>
    <w:rsid w:val="006E205C"/>
    <w:rsid w:val="006E4D92"/>
    <w:rsid w:val="006E54C6"/>
    <w:rsid w:val="006E5505"/>
    <w:rsid w:val="006E5EF0"/>
    <w:rsid w:val="006E6733"/>
    <w:rsid w:val="006E7C68"/>
    <w:rsid w:val="006F23EB"/>
    <w:rsid w:val="006F2A37"/>
    <w:rsid w:val="006F4D6C"/>
    <w:rsid w:val="006F7884"/>
    <w:rsid w:val="006F78EB"/>
    <w:rsid w:val="007004B9"/>
    <w:rsid w:val="007017AF"/>
    <w:rsid w:val="00704B99"/>
    <w:rsid w:val="00712C4C"/>
    <w:rsid w:val="00715D1E"/>
    <w:rsid w:val="00716097"/>
    <w:rsid w:val="007163F1"/>
    <w:rsid w:val="007174F1"/>
    <w:rsid w:val="00722152"/>
    <w:rsid w:val="007240CA"/>
    <w:rsid w:val="00724D42"/>
    <w:rsid w:val="0072689E"/>
    <w:rsid w:val="00731A4C"/>
    <w:rsid w:val="00731D20"/>
    <w:rsid w:val="00732588"/>
    <w:rsid w:val="00735357"/>
    <w:rsid w:val="0073566D"/>
    <w:rsid w:val="00741155"/>
    <w:rsid w:val="007416E9"/>
    <w:rsid w:val="00742F20"/>
    <w:rsid w:val="0074309B"/>
    <w:rsid w:val="00744189"/>
    <w:rsid w:val="007453FE"/>
    <w:rsid w:val="007504C1"/>
    <w:rsid w:val="007528F3"/>
    <w:rsid w:val="00754253"/>
    <w:rsid w:val="00754BC5"/>
    <w:rsid w:val="00756BAB"/>
    <w:rsid w:val="007620B3"/>
    <w:rsid w:val="0076284E"/>
    <w:rsid w:val="00762A3D"/>
    <w:rsid w:val="007631CF"/>
    <w:rsid w:val="007634E7"/>
    <w:rsid w:val="00766E2B"/>
    <w:rsid w:val="0076789F"/>
    <w:rsid w:val="007718B0"/>
    <w:rsid w:val="00772D06"/>
    <w:rsid w:val="007754AD"/>
    <w:rsid w:val="00781A5B"/>
    <w:rsid w:val="00783230"/>
    <w:rsid w:val="007A09C9"/>
    <w:rsid w:val="007A2494"/>
    <w:rsid w:val="007A2620"/>
    <w:rsid w:val="007A43C9"/>
    <w:rsid w:val="007A506A"/>
    <w:rsid w:val="007A5890"/>
    <w:rsid w:val="007B036E"/>
    <w:rsid w:val="007B08F2"/>
    <w:rsid w:val="007B0A48"/>
    <w:rsid w:val="007B0FCC"/>
    <w:rsid w:val="007B3AB4"/>
    <w:rsid w:val="007C06CC"/>
    <w:rsid w:val="007C2916"/>
    <w:rsid w:val="007C2CFA"/>
    <w:rsid w:val="007C4644"/>
    <w:rsid w:val="007C6D84"/>
    <w:rsid w:val="007D2CFF"/>
    <w:rsid w:val="007D5264"/>
    <w:rsid w:val="007D53B1"/>
    <w:rsid w:val="007D6F51"/>
    <w:rsid w:val="007E4BB7"/>
    <w:rsid w:val="007F00B6"/>
    <w:rsid w:val="007F0103"/>
    <w:rsid w:val="007F183C"/>
    <w:rsid w:val="007F2201"/>
    <w:rsid w:val="007F232F"/>
    <w:rsid w:val="007F25C9"/>
    <w:rsid w:val="007F50B6"/>
    <w:rsid w:val="007F5E09"/>
    <w:rsid w:val="007F6A6D"/>
    <w:rsid w:val="00802377"/>
    <w:rsid w:val="0080744F"/>
    <w:rsid w:val="008106F7"/>
    <w:rsid w:val="00811346"/>
    <w:rsid w:val="008124DA"/>
    <w:rsid w:val="0081478A"/>
    <w:rsid w:val="00814A07"/>
    <w:rsid w:val="00820786"/>
    <w:rsid w:val="00820DF2"/>
    <w:rsid w:val="008238F3"/>
    <w:rsid w:val="00824294"/>
    <w:rsid w:val="00826602"/>
    <w:rsid w:val="00832F34"/>
    <w:rsid w:val="00834913"/>
    <w:rsid w:val="008353B6"/>
    <w:rsid w:val="00841238"/>
    <w:rsid w:val="008438ED"/>
    <w:rsid w:val="00845BA5"/>
    <w:rsid w:val="00845CE4"/>
    <w:rsid w:val="00850342"/>
    <w:rsid w:val="008526BE"/>
    <w:rsid w:val="008532E7"/>
    <w:rsid w:val="0085337A"/>
    <w:rsid w:val="00855575"/>
    <w:rsid w:val="00860283"/>
    <w:rsid w:val="0086149B"/>
    <w:rsid w:val="00864CA9"/>
    <w:rsid w:val="00865436"/>
    <w:rsid w:val="008669EB"/>
    <w:rsid w:val="0087037D"/>
    <w:rsid w:val="0087091D"/>
    <w:rsid w:val="00872E94"/>
    <w:rsid w:val="00873E22"/>
    <w:rsid w:val="00875D72"/>
    <w:rsid w:val="00876547"/>
    <w:rsid w:val="00881C1B"/>
    <w:rsid w:val="00882C4B"/>
    <w:rsid w:val="00883B90"/>
    <w:rsid w:val="00887C73"/>
    <w:rsid w:val="0089057C"/>
    <w:rsid w:val="0089064D"/>
    <w:rsid w:val="00890CAA"/>
    <w:rsid w:val="008A20ED"/>
    <w:rsid w:val="008A4EFC"/>
    <w:rsid w:val="008A60B5"/>
    <w:rsid w:val="008B10FE"/>
    <w:rsid w:val="008B2BF2"/>
    <w:rsid w:val="008B52B8"/>
    <w:rsid w:val="008B7CD0"/>
    <w:rsid w:val="008C1D1E"/>
    <w:rsid w:val="008C2690"/>
    <w:rsid w:val="008C3BD5"/>
    <w:rsid w:val="008C51C3"/>
    <w:rsid w:val="008C647F"/>
    <w:rsid w:val="008D1243"/>
    <w:rsid w:val="008D2C28"/>
    <w:rsid w:val="008D4E66"/>
    <w:rsid w:val="008D5F16"/>
    <w:rsid w:val="008D7008"/>
    <w:rsid w:val="008E02F4"/>
    <w:rsid w:val="008E0EFD"/>
    <w:rsid w:val="008E596D"/>
    <w:rsid w:val="008E5C2B"/>
    <w:rsid w:val="008E6186"/>
    <w:rsid w:val="008E66A5"/>
    <w:rsid w:val="008E7C62"/>
    <w:rsid w:val="008F11B3"/>
    <w:rsid w:val="008F146A"/>
    <w:rsid w:val="008F1727"/>
    <w:rsid w:val="008F1E38"/>
    <w:rsid w:val="008F2B29"/>
    <w:rsid w:val="008F2C90"/>
    <w:rsid w:val="008F7D03"/>
    <w:rsid w:val="008F7E6D"/>
    <w:rsid w:val="009005BE"/>
    <w:rsid w:val="00901939"/>
    <w:rsid w:val="00902177"/>
    <w:rsid w:val="0090267A"/>
    <w:rsid w:val="00902E54"/>
    <w:rsid w:val="0090328A"/>
    <w:rsid w:val="009034EF"/>
    <w:rsid w:val="00904759"/>
    <w:rsid w:val="00905594"/>
    <w:rsid w:val="0090721B"/>
    <w:rsid w:val="009100A5"/>
    <w:rsid w:val="0091078B"/>
    <w:rsid w:val="0091145E"/>
    <w:rsid w:val="00911BFB"/>
    <w:rsid w:val="00913077"/>
    <w:rsid w:val="00917966"/>
    <w:rsid w:val="00917CD7"/>
    <w:rsid w:val="009208BA"/>
    <w:rsid w:val="00922EBB"/>
    <w:rsid w:val="009235EC"/>
    <w:rsid w:val="009302F0"/>
    <w:rsid w:val="009325AE"/>
    <w:rsid w:val="0093386C"/>
    <w:rsid w:val="00934346"/>
    <w:rsid w:val="009350E2"/>
    <w:rsid w:val="00936FF1"/>
    <w:rsid w:val="00940EC1"/>
    <w:rsid w:val="0094478B"/>
    <w:rsid w:val="00944796"/>
    <w:rsid w:val="009518A8"/>
    <w:rsid w:val="00952864"/>
    <w:rsid w:val="009534CD"/>
    <w:rsid w:val="00956444"/>
    <w:rsid w:val="00956912"/>
    <w:rsid w:val="009574A1"/>
    <w:rsid w:val="00961825"/>
    <w:rsid w:val="0096441F"/>
    <w:rsid w:val="00965552"/>
    <w:rsid w:val="009655F2"/>
    <w:rsid w:val="00965FFC"/>
    <w:rsid w:val="0097348F"/>
    <w:rsid w:val="009773DD"/>
    <w:rsid w:val="00984D05"/>
    <w:rsid w:val="009877FE"/>
    <w:rsid w:val="009919C2"/>
    <w:rsid w:val="00993C42"/>
    <w:rsid w:val="00997D3A"/>
    <w:rsid w:val="009A0CC6"/>
    <w:rsid w:val="009A2D3A"/>
    <w:rsid w:val="009A7493"/>
    <w:rsid w:val="009A7F8B"/>
    <w:rsid w:val="009B3E9A"/>
    <w:rsid w:val="009B67AD"/>
    <w:rsid w:val="009B6E22"/>
    <w:rsid w:val="009B78C4"/>
    <w:rsid w:val="009B7AB4"/>
    <w:rsid w:val="009C0438"/>
    <w:rsid w:val="009C7460"/>
    <w:rsid w:val="009D1F61"/>
    <w:rsid w:val="009D21A5"/>
    <w:rsid w:val="009D663D"/>
    <w:rsid w:val="009E269C"/>
    <w:rsid w:val="009E26E9"/>
    <w:rsid w:val="009E603F"/>
    <w:rsid w:val="009E615A"/>
    <w:rsid w:val="009E6744"/>
    <w:rsid w:val="009E76C0"/>
    <w:rsid w:val="009F11AF"/>
    <w:rsid w:val="009F281E"/>
    <w:rsid w:val="009F5F4A"/>
    <w:rsid w:val="009F6ED2"/>
    <w:rsid w:val="00A0080D"/>
    <w:rsid w:val="00A00C4A"/>
    <w:rsid w:val="00A02057"/>
    <w:rsid w:val="00A04C10"/>
    <w:rsid w:val="00A079A6"/>
    <w:rsid w:val="00A1340C"/>
    <w:rsid w:val="00A14B75"/>
    <w:rsid w:val="00A162EB"/>
    <w:rsid w:val="00A1655D"/>
    <w:rsid w:val="00A23402"/>
    <w:rsid w:val="00A24645"/>
    <w:rsid w:val="00A270DA"/>
    <w:rsid w:val="00A33574"/>
    <w:rsid w:val="00A34E8A"/>
    <w:rsid w:val="00A360EB"/>
    <w:rsid w:val="00A36179"/>
    <w:rsid w:val="00A43470"/>
    <w:rsid w:val="00A437A0"/>
    <w:rsid w:val="00A4494A"/>
    <w:rsid w:val="00A454A9"/>
    <w:rsid w:val="00A5017C"/>
    <w:rsid w:val="00A51203"/>
    <w:rsid w:val="00A51FB6"/>
    <w:rsid w:val="00A5214F"/>
    <w:rsid w:val="00A53831"/>
    <w:rsid w:val="00A55A8A"/>
    <w:rsid w:val="00A6302F"/>
    <w:rsid w:val="00A63766"/>
    <w:rsid w:val="00A7152D"/>
    <w:rsid w:val="00A73835"/>
    <w:rsid w:val="00A74188"/>
    <w:rsid w:val="00A77361"/>
    <w:rsid w:val="00A80947"/>
    <w:rsid w:val="00A83A86"/>
    <w:rsid w:val="00A84CC3"/>
    <w:rsid w:val="00A915BE"/>
    <w:rsid w:val="00A93DA9"/>
    <w:rsid w:val="00A94158"/>
    <w:rsid w:val="00A95F39"/>
    <w:rsid w:val="00AA050F"/>
    <w:rsid w:val="00AA0EB0"/>
    <w:rsid w:val="00AA15E8"/>
    <w:rsid w:val="00AB0EB4"/>
    <w:rsid w:val="00AB180E"/>
    <w:rsid w:val="00AB18BC"/>
    <w:rsid w:val="00AB4CA8"/>
    <w:rsid w:val="00AB68EA"/>
    <w:rsid w:val="00AC0333"/>
    <w:rsid w:val="00AC085D"/>
    <w:rsid w:val="00AC38CC"/>
    <w:rsid w:val="00AC6E00"/>
    <w:rsid w:val="00AD01FF"/>
    <w:rsid w:val="00AD0860"/>
    <w:rsid w:val="00AD795A"/>
    <w:rsid w:val="00AE0DD9"/>
    <w:rsid w:val="00AE5EB2"/>
    <w:rsid w:val="00AF280D"/>
    <w:rsid w:val="00AF33B0"/>
    <w:rsid w:val="00AF38CB"/>
    <w:rsid w:val="00AF4BD8"/>
    <w:rsid w:val="00AF5005"/>
    <w:rsid w:val="00AF52CC"/>
    <w:rsid w:val="00AF58F2"/>
    <w:rsid w:val="00AF79B7"/>
    <w:rsid w:val="00B00EB4"/>
    <w:rsid w:val="00B0126B"/>
    <w:rsid w:val="00B0718D"/>
    <w:rsid w:val="00B1197E"/>
    <w:rsid w:val="00B11A6C"/>
    <w:rsid w:val="00B122B7"/>
    <w:rsid w:val="00B12E31"/>
    <w:rsid w:val="00B13A1C"/>
    <w:rsid w:val="00B1633B"/>
    <w:rsid w:val="00B17F91"/>
    <w:rsid w:val="00B26720"/>
    <w:rsid w:val="00B276AE"/>
    <w:rsid w:val="00B33711"/>
    <w:rsid w:val="00B3400A"/>
    <w:rsid w:val="00B34348"/>
    <w:rsid w:val="00B37A24"/>
    <w:rsid w:val="00B37CD6"/>
    <w:rsid w:val="00B40AAB"/>
    <w:rsid w:val="00B410DA"/>
    <w:rsid w:val="00B42728"/>
    <w:rsid w:val="00B45A7C"/>
    <w:rsid w:val="00B4758B"/>
    <w:rsid w:val="00B477C1"/>
    <w:rsid w:val="00B56D30"/>
    <w:rsid w:val="00B650B0"/>
    <w:rsid w:val="00B76484"/>
    <w:rsid w:val="00B811F8"/>
    <w:rsid w:val="00B81C06"/>
    <w:rsid w:val="00B847BD"/>
    <w:rsid w:val="00B933DB"/>
    <w:rsid w:val="00B95277"/>
    <w:rsid w:val="00BA2D67"/>
    <w:rsid w:val="00BA5A34"/>
    <w:rsid w:val="00BA7D85"/>
    <w:rsid w:val="00BB02F9"/>
    <w:rsid w:val="00BC0650"/>
    <w:rsid w:val="00BC77CC"/>
    <w:rsid w:val="00BC79AD"/>
    <w:rsid w:val="00BD023B"/>
    <w:rsid w:val="00BD46F2"/>
    <w:rsid w:val="00BD7D8F"/>
    <w:rsid w:val="00BE0DF5"/>
    <w:rsid w:val="00BE0E71"/>
    <w:rsid w:val="00BE17C7"/>
    <w:rsid w:val="00BE1B80"/>
    <w:rsid w:val="00BE474D"/>
    <w:rsid w:val="00BE4A69"/>
    <w:rsid w:val="00BF077B"/>
    <w:rsid w:val="00BF418A"/>
    <w:rsid w:val="00BF655F"/>
    <w:rsid w:val="00C0232F"/>
    <w:rsid w:val="00C02617"/>
    <w:rsid w:val="00C059C1"/>
    <w:rsid w:val="00C06BC9"/>
    <w:rsid w:val="00C06DDF"/>
    <w:rsid w:val="00C077B4"/>
    <w:rsid w:val="00C13B19"/>
    <w:rsid w:val="00C14076"/>
    <w:rsid w:val="00C16607"/>
    <w:rsid w:val="00C16742"/>
    <w:rsid w:val="00C21DB0"/>
    <w:rsid w:val="00C24A9F"/>
    <w:rsid w:val="00C26336"/>
    <w:rsid w:val="00C26D4D"/>
    <w:rsid w:val="00C35A32"/>
    <w:rsid w:val="00C4117E"/>
    <w:rsid w:val="00C5003B"/>
    <w:rsid w:val="00C54C32"/>
    <w:rsid w:val="00C57C1C"/>
    <w:rsid w:val="00C57C2E"/>
    <w:rsid w:val="00C57F2E"/>
    <w:rsid w:val="00C60B35"/>
    <w:rsid w:val="00C61B5C"/>
    <w:rsid w:val="00C6217F"/>
    <w:rsid w:val="00C62A0C"/>
    <w:rsid w:val="00C634CF"/>
    <w:rsid w:val="00C66E3E"/>
    <w:rsid w:val="00C67402"/>
    <w:rsid w:val="00C674B7"/>
    <w:rsid w:val="00C74088"/>
    <w:rsid w:val="00C74671"/>
    <w:rsid w:val="00C7482B"/>
    <w:rsid w:val="00C83D91"/>
    <w:rsid w:val="00C8425B"/>
    <w:rsid w:val="00C91141"/>
    <w:rsid w:val="00C93790"/>
    <w:rsid w:val="00C942E8"/>
    <w:rsid w:val="00C95490"/>
    <w:rsid w:val="00C96192"/>
    <w:rsid w:val="00CA0F1B"/>
    <w:rsid w:val="00CA3F7E"/>
    <w:rsid w:val="00CA455B"/>
    <w:rsid w:val="00CB13F7"/>
    <w:rsid w:val="00CC047F"/>
    <w:rsid w:val="00CC09C5"/>
    <w:rsid w:val="00CC25EA"/>
    <w:rsid w:val="00CC27C0"/>
    <w:rsid w:val="00CC3B9F"/>
    <w:rsid w:val="00CC7404"/>
    <w:rsid w:val="00CD114C"/>
    <w:rsid w:val="00CD1241"/>
    <w:rsid w:val="00CD3669"/>
    <w:rsid w:val="00CE3697"/>
    <w:rsid w:val="00CE415E"/>
    <w:rsid w:val="00CE5492"/>
    <w:rsid w:val="00CE6365"/>
    <w:rsid w:val="00CE68FF"/>
    <w:rsid w:val="00CF096D"/>
    <w:rsid w:val="00CF0C7E"/>
    <w:rsid w:val="00CF4DFA"/>
    <w:rsid w:val="00D04E08"/>
    <w:rsid w:val="00D0681B"/>
    <w:rsid w:val="00D10C1D"/>
    <w:rsid w:val="00D12F92"/>
    <w:rsid w:val="00D13794"/>
    <w:rsid w:val="00D262B4"/>
    <w:rsid w:val="00D26303"/>
    <w:rsid w:val="00D26D5F"/>
    <w:rsid w:val="00D27250"/>
    <w:rsid w:val="00D27355"/>
    <w:rsid w:val="00D33185"/>
    <w:rsid w:val="00D3761D"/>
    <w:rsid w:val="00D4775F"/>
    <w:rsid w:val="00D530AD"/>
    <w:rsid w:val="00D54986"/>
    <w:rsid w:val="00D57A4C"/>
    <w:rsid w:val="00D61351"/>
    <w:rsid w:val="00D61E12"/>
    <w:rsid w:val="00D63541"/>
    <w:rsid w:val="00D64675"/>
    <w:rsid w:val="00D65420"/>
    <w:rsid w:val="00D67619"/>
    <w:rsid w:val="00D7161A"/>
    <w:rsid w:val="00D7182C"/>
    <w:rsid w:val="00D718B7"/>
    <w:rsid w:val="00D7685C"/>
    <w:rsid w:val="00D80A82"/>
    <w:rsid w:val="00D8224E"/>
    <w:rsid w:val="00D83441"/>
    <w:rsid w:val="00D84666"/>
    <w:rsid w:val="00D857CD"/>
    <w:rsid w:val="00D85C21"/>
    <w:rsid w:val="00D860F5"/>
    <w:rsid w:val="00D861F1"/>
    <w:rsid w:val="00D8764D"/>
    <w:rsid w:val="00D910DA"/>
    <w:rsid w:val="00D96F87"/>
    <w:rsid w:val="00D97BE1"/>
    <w:rsid w:val="00DA0314"/>
    <w:rsid w:val="00DA142D"/>
    <w:rsid w:val="00DA2C20"/>
    <w:rsid w:val="00DA3049"/>
    <w:rsid w:val="00DA47A7"/>
    <w:rsid w:val="00DA5D92"/>
    <w:rsid w:val="00DB4EFE"/>
    <w:rsid w:val="00DB63EA"/>
    <w:rsid w:val="00DC0312"/>
    <w:rsid w:val="00DC3DDF"/>
    <w:rsid w:val="00DC7BE4"/>
    <w:rsid w:val="00DD0A7B"/>
    <w:rsid w:val="00DD2780"/>
    <w:rsid w:val="00DD27A4"/>
    <w:rsid w:val="00DD45DA"/>
    <w:rsid w:val="00DD599E"/>
    <w:rsid w:val="00DE0F61"/>
    <w:rsid w:val="00DE37E3"/>
    <w:rsid w:val="00DE3C3E"/>
    <w:rsid w:val="00DE4F08"/>
    <w:rsid w:val="00DE51D6"/>
    <w:rsid w:val="00DE6F31"/>
    <w:rsid w:val="00DF084E"/>
    <w:rsid w:val="00DF0A5B"/>
    <w:rsid w:val="00DF4E13"/>
    <w:rsid w:val="00E00727"/>
    <w:rsid w:val="00E0164B"/>
    <w:rsid w:val="00E019BE"/>
    <w:rsid w:val="00E02FCC"/>
    <w:rsid w:val="00E11374"/>
    <w:rsid w:val="00E128ED"/>
    <w:rsid w:val="00E14086"/>
    <w:rsid w:val="00E162DA"/>
    <w:rsid w:val="00E17870"/>
    <w:rsid w:val="00E242AB"/>
    <w:rsid w:val="00E249B3"/>
    <w:rsid w:val="00E27A39"/>
    <w:rsid w:val="00E27DBD"/>
    <w:rsid w:val="00E357E8"/>
    <w:rsid w:val="00E35AD1"/>
    <w:rsid w:val="00E35BE3"/>
    <w:rsid w:val="00E35FD1"/>
    <w:rsid w:val="00E3641D"/>
    <w:rsid w:val="00E40688"/>
    <w:rsid w:val="00E41157"/>
    <w:rsid w:val="00E42E05"/>
    <w:rsid w:val="00E43EFB"/>
    <w:rsid w:val="00E455F8"/>
    <w:rsid w:val="00E4747E"/>
    <w:rsid w:val="00E51FD8"/>
    <w:rsid w:val="00E544FA"/>
    <w:rsid w:val="00E551A1"/>
    <w:rsid w:val="00E5733C"/>
    <w:rsid w:val="00E57EC3"/>
    <w:rsid w:val="00E604BD"/>
    <w:rsid w:val="00E60B45"/>
    <w:rsid w:val="00E6367F"/>
    <w:rsid w:val="00E6389D"/>
    <w:rsid w:val="00E65801"/>
    <w:rsid w:val="00E71325"/>
    <w:rsid w:val="00E73AF8"/>
    <w:rsid w:val="00E7700E"/>
    <w:rsid w:val="00E82308"/>
    <w:rsid w:val="00E82803"/>
    <w:rsid w:val="00E832B0"/>
    <w:rsid w:val="00E83D7F"/>
    <w:rsid w:val="00E860F1"/>
    <w:rsid w:val="00E8724C"/>
    <w:rsid w:val="00E8797A"/>
    <w:rsid w:val="00E90B2F"/>
    <w:rsid w:val="00E941BE"/>
    <w:rsid w:val="00E96DFE"/>
    <w:rsid w:val="00EA1B92"/>
    <w:rsid w:val="00EA46C2"/>
    <w:rsid w:val="00EA5825"/>
    <w:rsid w:val="00EA594D"/>
    <w:rsid w:val="00EA650A"/>
    <w:rsid w:val="00EA6CA8"/>
    <w:rsid w:val="00EB177C"/>
    <w:rsid w:val="00EB2010"/>
    <w:rsid w:val="00EB256F"/>
    <w:rsid w:val="00EB3A05"/>
    <w:rsid w:val="00EB3A6D"/>
    <w:rsid w:val="00EB3D3F"/>
    <w:rsid w:val="00EB6324"/>
    <w:rsid w:val="00EC1928"/>
    <w:rsid w:val="00EC3972"/>
    <w:rsid w:val="00EC44A0"/>
    <w:rsid w:val="00EC7E02"/>
    <w:rsid w:val="00ED0E82"/>
    <w:rsid w:val="00ED2A69"/>
    <w:rsid w:val="00ED3384"/>
    <w:rsid w:val="00ED3387"/>
    <w:rsid w:val="00ED46F7"/>
    <w:rsid w:val="00ED496F"/>
    <w:rsid w:val="00ED581F"/>
    <w:rsid w:val="00EE161B"/>
    <w:rsid w:val="00EE187F"/>
    <w:rsid w:val="00EE4813"/>
    <w:rsid w:val="00EE4AA2"/>
    <w:rsid w:val="00EE4AF9"/>
    <w:rsid w:val="00EE76D4"/>
    <w:rsid w:val="00EE7719"/>
    <w:rsid w:val="00EF32E7"/>
    <w:rsid w:val="00EF4245"/>
    <w:rsid w:val="00EF5542"/>
    <w:rsid w:val="00EF7614"/>
    <w:rsid w:val="00F00FCD"/>
    <w:rsid w:val="00F014FE"/>
    <w:rsid w:val="00F0224C"/>
    <w:rsid w:val="00F033D2"/>
    <w:rsid w:val="00F035FE"/>
    <w:rsid w:val="00F07017"/>
    <w:rsid w:val="00F153AD"/>
    <w:rsid w:val="00F17407"/>
    <w:rsid w:val="00F22472"/>
    <w:rsid w:val="00F23479"/>
    <w:rsid w:val="00F25E37"/>
    <w:rsid w:val="00F303BB"/>
    <w:rsid w:val="00F304C3"/>
    <w:rsid w:val="00F34C02"/>
    <w:rsid w:val="00F35A32"/>
    <w:rsid w:val="00F35F5E"/>
    <w:rsid w:val="00F368BC"/>
    <w:rsid w:val="00F37DCE"/>
    <w:rsid w:val="00F417C3"/>
    <w:rsid w:val="00F436F0"/>
    <w:rsid w:val="00F440E0"/>
    <w:rsid w:val="00F44187"/>
    <w:rsid w:val="00F44233"/>
    <w:rsid w:val="00F452AA"/>
    <w:rsid w:val="00F527EF"/>
    <w:rsid w:val="00F547A1"/>
    <w:rsid w:val="00F6079B"/>
    <w:rsid w:val="00F6143B"/>
    <w:rsid w:val="00F61611"/>
    <w:rsid w:val="00F6207B"/>
    <w:rsid w:val="00F6351C"/>
    <w:rsid w:val="00F6562E"/>
    <w:rsid w:val="00F71669"/>
    <w:rsid w:val="00F73CC6"/>
    <w:rsid w:val="00F811B2"/>
    <w:rsid w:val="00F842CF"/>
    <w:rsid w:val="00F8565E"/>
    <w:rsid w:val="00F87166"/>
    <w:rsid w:val="00F8795A"/>
    <w:rsid w:val="00F93786"/>
    <w:rsid w:val="00F93944"/>
    <w:rsid w:val="00F96DB0"/>
    <w:rsid w:val="00FA2206"/>
    <w:rsid w:val="00FB202E"/>
    <w:rsid w:val="00FB2053"/>
    <w:rsid w:val="00FB305D"/>
    <w:rsid w:val="00FB3180"/>
    <w:rsid w:val="00FB5DC6"/>
    <w:rsid w:val="00FB6721"/>
    <w:rsid w:val="00FC07EA"/>
    <w:rsid w:val="00FC1307"/>
    <w:rsid w:val="00FC1F1E"/>
    <w:rsid w:val="00FC566E"/>
    <w:rsid w:val="00FC5821"/>
    <w:rsid w:val="00FC6110"/>
    <w:rsid w:val="00FC6B77"/>
    <w:rsid w:val="00FD0F45"/>
    <w:rsid w:val="00FD312A"/>
    <w:rsid w:val="00FD397E"/>
    <w:rsid w:val="00FD7713"/>
    <w:rsid w:val="00FE273F"/>
    <w:rsid w:val="00FE3053"/>
    <w:rsid w:val="00FE5535"/>
    <w:rsid w:val="00FE5752"/>
    <w:rsid w:val="00FE5B0F"/>
    <w:rsid w:val="00FE6772"/>
    <w:rsid w:val="00FF2A08"/>
    <w:rsid w:val="00FF4D47"/>
    <w:rsid w:val="00FF53E3"/>
    <w:rsid w:val="00FF71EA"/>
    <w:rsid w:val="00FF7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8066F"/>
  <w15:docId w15:val="{A92410A1-8A14-4F9C-A7F4-616BCE8E4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2DA"/>
    <w:rPr>
      <w:rFonts w:ascii="Calibri" w:eastAsia="Calibri" w:hAnsi="Calibri" w:cs="Calibri"/>
    </w:rPr>
  </w:style>
  <w:style w:type="paragraph" w:styleId="Heading1">
    <w:name w:val="heading 1"/>
    <w:basedOn w:val="Normal"/>
    <w:link w:val="Heading1Char"/>
    <w:uiPriority w:val="9"/>
    <w:qFormat/>
    <w:pPr>
      <w:ind w:left="287"/>
      <w:outlineLvl w:val="0"/>
    </w:pPr>
    <w:rPr>
      <w:b/>
      <w:bCs/>
    </w:rPr>
  </w:style>
  <w:style w:type="paragraph" w:styleId="Heading2">
    <w:name w:val="heading 2"/>
    <w:basedOn w:val="Normal"/>
    <w:uiPriority w:val="9"/>
    <w:unhideWhenUsed/>
    <w:qFormat/>
    <w:pPr>
      <w:ind w:left="287"/>
      <w:outlineLvl w:val="1"/>
    </w:pPr>
    <w:rPr>
      <w:b/>
      <w:bCs/>
      <w:sz w:val="21"/>
      <w:szCs w:val="21"/>
    </w:rPr>
  </w:style>
  <w:style w:type="paragraph" w:styleId="Heading3">
    <w:name w:val="heading 3"/>
    <w:basedOn w:val="Normal"/>
    <w:uiPriority w:val="9"/>
    <w:unhideWhenUsed/>
    <w:qFormat/>
    <w:pPr>
      <w:ind w:left="287"/>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hanging="281"/>
    </w:pPr>
    <w:rPr>
      <w:sz w:val="19"/>
      <w:szCs w:val="19"/>
    </w:rPr>
  </w:style>
  <w:style w:type="paragraph" w:styleId="ListParagraph">
    <w:name w:val="List Paragraph"/>
    <w:basedOn w:val="Normal"/>
    <w:uiPriority w:val="1"/>
    <w:qFormat/>
    <w:pPr>
      <w:spacing w:before="56"/>
      <w:ind w:left="768" w:right="695" w:hanging="281"/>
    </w:pPr>
  </w:style>
  <w:style w:type="paragraph" w:customStyle="1" w:styleId="TableParagraph">
    <w:name w:val="Table Paragraph"/>
    <w:basedOn w:val="Normal"/>
    <w:uiPriority w:val="1"/>
    <w:qFormat/>
    <w:pPr>
      <w:spacing w:before="57"/>
      <w:ind w:left="104"/>
    </w:pPr>
  </w:style>
  <w:style w:type="paragraph" w:styleId="Header">
    <w:name w:val="header"/>
    <w:basedOn w:val="Normal"/>
    <w:link w:val="HeaderChar"/>
    <w:uiPriority w:val="99"/>
    <w:unhideWhenUsed/>
    <w:rsid w:val="007C06CC"/>
    <w:pPr>
      <w:tabs>
        <w:tab w:val="center" w:pos="4680"/>
        <w:tab w:val="right" w:pos="9360"/>
      </w:tabs>
    </w:pPr>
  </w:style>
  <w:style w:type="character" w:customStyle="1" w:styleId="HeaderChar">
    <w:name w:val="Header Char"/>
    <w:basedOn w:val="DefaultParagraphFont"/>
    <w:link w:val="Header"/>
    <w:uiPriority w:val="99"/>
    <w:rsid w:val="007C06CC"/>
    <w:rPr>
      <w:rFonts w:ascii="Calibri" w:eastAsia="Calibri" w:hAnsi="Calibri" w:cs="Calibri"/>
    </w:rPr>
  </w:style>
  <w:style w:type="paragraph" w:styleId="Footer">
    <w:name w:val="footer"/>
    <w:basedOn w:val="Normal"/>
    <w:link w:val="FooterChar"/>
    <w:uiPriority w:val="99"/>
    <w:unhideWhenUsed/>
    <w:rsid w:val="007C06CC"/>
    <w:pPr>
      <w:tabs>
        <w:tab w:val="center" w:pos="4680"/>
        <w:tab w:val="right" w:pos="9360"/>
      </w:tabs>
    </w:pPr>
  </w:style>
  <w:style w:type="character" w:customStyle="1" w:styleId="FooterChar">
    <w:name w:val="Footer Char"/>
    <w:basedOn w:val="DefaultParagraphFont"/>
    <w:link w:val="Footer"/>
    <w:uiPriority w:val="99"/>
    <w:rsid w:val="007C06CC"/>
    <w:rPr>
      <w:rFonts w:ascii="Calibri" w:eastAsia="Calibri" w:hAnsi="Calibri" w:cs="Calibri"/>
    </w:rPr>
  </w:style>
  <w:style w:type="paragraph" w:customStyle="1" w:styleId="ResumeTitle">
    <w:name w:val="Resume Title"/>
    <w:rsid w:val="00C91141"/>
    <w:pPr>
      <w:keepNext/>
      <w:widowControl/>
      <w:autoSpaceDE/>
      <w:autoSpaceDN/>
      <w:spacing w:after="40" w:line="276" w:lineRule="auto"/>
    </w:pPr>
    <w:rPr>
      <w:rFonts w:ascii="Aptos" w:eastAsia="MS Mincho" w:hAnsi="Aptos"/>
      <w:b/>
      <w:color w:val="1F4E79"/>
      <w:sz w:val="25"/>
    </w:rPr>
  </w:style>
  <w:style w:type="table" w:styleId="TableGrid">
    <w:name w:val="Table Grid"/>
    <w:basedOn w:val="TableNormal"/>
    <w:uiPriority w:val="39"/>
    <w:rsid w:val="00E83D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35357"/>
    <w:rPr>
      <w:b/>
      <w:bCs/>
    </w:rPr>
  </w:style>
  <w:style w:type="paragraph" w:styleId="ListBullet">
    <w:name w:val="List Bullet"/>
    <w:basedOn w:val="Normal"/>
    <w:uiPriority w:val="99"/>
    <w:unhideWhenUsed/>
    <w:rsid w:val="00F00FCD"/>
    <w:pPr>
      <w:widowControl/>
      <w:numPr>
        <w:numId w:val="2"/>
      </w:numPr>
      <w:tabs>
        <w:tab w:val="clear" w:pos="360"/>
      </w:tabs>
      <w:autoSpaceDE/>
      <w:autoSpaceDN/>
      <w:spacing w:after="200" w:line="276" w:lineRule="auto"/>
      <w:ind w:left="0" w:firstLine="0"/>
      <w:contextualSpacing/>
    </w:pPr>
    <w:rPr>
      <w:rFonts w:ascii="Aptos" w:eastAsiaTheme="minorEastAsia" w:hAnsi="Aptos" w:cstheme="minorBidi"/>
      <w:sz w:val="18"/>
    </w:rPr>
  </w:style>
  <w:style w:type="character" w:customStyle="1" w:styleId="BodyTextChar">
    <w:name w:val="Body Text Char"/>
    <w:basedOn w:val="DefaultParagraphFont"/>
    <w:link w:val="BodyText"/>
    <w:uiPriority w:val="1"/>
    <w:rsid w:val="007B036E"/>
    <w:rPr>
      <w:rFonts w:ascii="Calibri" w:eastAsia="Calibri" w:hAnsi="Calibri" w:cs="Calibri"/>
      <w:sz w:val="19"/>
      <w:szCs w:val="19"/>
    </w:rPr>
  </w:style>
  <w:style w:type="paragraph" w:styleId="NormalWeb">
    <w:name w:val="Normal (Web)"/>
    <w:basedOn w:val="Normal"/>
    <w:uiPriority w:val="99"/>
    <w:semiHidden/>
    <w:unhideWhenUsed/>
    <w:rsid w:val="0072689E"/>
    <w:rPr>
      <w:rFonts w:ascii="Times New Roman" w:hAnsi="Times New Roman" w:cs="Times New Roman"/>
      <w:sz w:val="24"/>
      <w:szCs w:val="24"/>
    </w:rPr>
  </w:style>
  <w:style w:type="character" w:customStyle="1" w:styleId="Heading1Char">
    <w:name w:val="Heading 1 Char"/>
    <w:basedOn w:val="DefaultParagraphFont"/>
    <w:link w:val="Heading1"/>
    <w:uiPriority w:val="9"/>
    <w:rsid w:val="007174F1"/>
    <w:rPr>
      <w:rFonts w:ascii="Calibri" w:eastAsia="Calibri" w:hAnsi="Calibri" w:cs="Calibri"/>
      <w:b/>
      <w:bCs/>
    </w:rPr>
  </w:style>
  <w:style w:type="paragraph" w:customStyle="1" w:styleId="artifact-docx-previewlistbullet">
    <w:name w:val="artifact-docx-preview_listbullet"/>
    <w:basedOn w:val="Normal"/>
    <w:rsid w:val="000237F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8BF64-2C03-43F3-BF1D-004024ABD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1349</Words>
  <Characters>9476</Characters>
  <Application>Microsoft Office Word</Application>
  <DocSecurity>0</DocSecurity>
  <Lines>146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Nicholas Jordan</cp:lastModifiedBy>
  <cp:revision>9</cp:revision>
  <dcterms:created xsi:type="dcterms:W3CDTF">2026-09-21T21:55:00Z</dcterms:created>
  <dcterms:modified xsi:type="dcterms:W3CDTF">2026-10-02T22:34:00Z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2026-05-24T00:00:00Z</vt:filetime>
  </property>
  <property fmtid="{D5CDD505-2E9C-101B-9397-08002B2CF9AE}" pid="3" name="Creator">
    <vt:lpwstr>Acrobat PDFMaker 25 for Word</vt:lpwstr>
  </property>
  <property fmtid="{D5CDD505-2E9C-101B-9397-08002B2CF9AE}" pid="4" name="GrammarlyDocumentId">
    <vt:lpwstr>6209f627-83da-45e5-b808-554247822ad3</vt:lpwstr>
  </property>
  <property fmtid="{D5CDD505-2E9C-101B-9397-08002B2CF9AE}" pid="5" name="LastSaved">
    <vt:filetime>2026-06-05T00:00:00Z</vt:filetime>
  </property>
  <property fmtid="{D5CDD505-2E9C-101B-9397-08002B2CF9AE}" pid="6" name="Producer">
    <vt:lpwstr>Adobe PDF Library 25.1.97</vt:lpwstr>
  </property>
  <property fmtid="{D5CDD505-2E9C-101B-9397-08002B2CF9AE}" pid="7" name="SourceModified">
    <vt:lpwstr/>
  </property>
</Properties>
</file>